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8"/>
        <w:gridCol w:w="3780"/>
      </w:tblGrid>
      <w:tr w:rsidR="00D65165" w:rsidRPr="00D3050F" w14:paraId="0AC5AC1B" w14:textId="77777777" w:rsidTr="00D65165">
        <w:trPr>
          <w:trHeight w:val="315"/>
          <w:jc w:val="right"/>
        </w:trPr>
        <w:tc>
          <w:tcPr>
            <w:tcW w:w="5508" w:type="dxa"/>
          </w:tcPr>
          <w:p w14:paraId="0B416886" w14:textId="77777777" w:rsidR="00D65165" w:rsidRPr="00D3050F" w:rsidRDefault="00D65165" w:rsidP="00D65165">
            <w:pPr>
              <w:jc w:val="center"/>
              <w:rPr>
                <w:rFonts w:ascii="Palatino Linotype" w:hAnsi="Palatino Linotype"/>
                <w:b/>
                <w:bCs/>
                <w:lang w:val="az-Latn-AZ"/>
              </w:rPr>
            </w:pPr>
          </w:p>
        </w:tc>
        <w:tc>
          <w:tcPr>
            <w:tcW w:w="3780" w:type="dxa"/>
          </w:tcPr>
          <w:p w14:paraId="67538943"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b/>
                <w:bCs/>
                <w:lang w:val="az-Latn-AZ"/>
              </w:rPr>
              <w:t>“Təsdiq edilmişdir”</w:t>
            </w:r>
          </w:p>
        </w:tc>
      </w:tr>
      <w:tr w:rsidR="00D65165" w:rsidRPr="00D3050F" w14:paraId="11BFB169" w14:textId="77777777" w:rsidTr="00D65165">
        <w:trPr>
          <w:trHeight w:val="315"/>
          <w:jc w:val="right"/>
        </w:trPr>
        <w:tc>
          <w:tcPr>
            <w:tcW w:w="5508" w:type="dxa"/>
          </w:tcPr>
          <w:p w14:paraId="5C683656" w14:textId="77777777" w:rsidR="00D65165" w:rsidRPr="00D3050F" w:rsidRDefault="00D65165" w:rsidP="00D65165">
            <w:pPr>
              <w:jc w:val="center"/>
              <w:rPr>
                <w:rFonts w:ascii="Palatino Linotype" w:hAnsi="Palatino Linotype"/>
                <w:lang w:val="az-Latn-AZ"/>
              </w:rPr>
            </w:pPr>
          </w:p>
        </w:tc>
        <w:tc>
          <w:tcPr>
            <w:tcW w:w="3780" w:type="dxa"/>
          </w:tcPr>
          <w:p w14:paraId="24F979BB"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lang w:val="az-Latn-AZ"/>
              </w:rPr>
              <w:t>Azərbaycan Respublikasının</w:t>
            </w:r>
          </w:p>
        </w:tc>
      </w:tr>
      <w:tr w:rsidR="00D65165" w:rsidRPr="00D3050F" w14:paraId="1FA533C4" w14:textId="77777777" w:rsidTr="00D65165">
        <w:trPr>
          <w:trHeight w:val="315"/>
          <w:jc w:val="right"/>
        </w:trPr>
        <w:tc>
          <w:tcPr>
            <w:tcW w:w="5508" w:type="dxa"/>
          </w:tcPr>
          <w:p w14:paraId="0205BEA6" w14:textId="77777777" w:rsidR="00D65165" w:rsidRPr="00D3050F" w:rsidRDefault="00D65165" w:rsidP="00D65165">
            <w:pPr>
              <w:jc w:val="center"/>
              <w:rPr>
                <w:rFonts w:ascii="Palatino Linotype" w:hAnsi="Palatino Linotype"/>
                <w:lang w:val="az-Latn-AZ"/>
              </w:rPr>
            </w:pPr>
          </w:p>
        </w:tc>
        <w:tc>
          <w:tcPr>
            <w:tcW w:w="3780" w:type="dxa"/>
          </w:tcPr>
          <w:p w14:paraId="316F8DF1"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lang w:val="az-Latn-AZ"/>
              </w:rPr>
              <w:t>Dövlət Statistika Komitəsi</w:t>
            </w:r>
          </w:p>
        </w:tc>
      </w:tr>
      <w:tr w:rsidR="00D65165" w:rsidRPr="00D3050F" w14:paraId="677C631C" w14:textId="77777777" w:rsidTr="00D65165">
        <w:trPr>
          <w:trHeight w:val="333"/>
          <w:jc w:val="right"/>
        </w:trPr>
        <w:tc>
          <w:tcPr>
            <w:tcW w:w="5508" w:type="dxa"/>
          </w:tcPr>
          <w:p w14:paraId="1FBFAF30" w14:textId="77777777" w:rsidR="00D65165" w:rsidRPr="00D3050F" w:rsidRDefault="00D65165" w:rsidP="00D65165">
            <w:pPr>
              <w:jc w:val="center"/>
              <w:rPr>
                <w:rFonts w:ascii="Palatino Linotype" w:hAnsi="Palatino Linotype"/>
                <w:lang w:val="az-Latn-AZ"/>
              </w:rPr>
            </w:pPr>
          </w:p>
        </w:tc>
        <w:tc>
          <w:tcPr>
            <w:tcW w:w="3780" w:type="dxa"/>
          </w:tcPr>
          <w:p w14:paraId="17B074C5"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lang w:val="az-Latn-AZ"/>
              </w:rPr>
              <w:t xml:space="preserve">Qərar № </w:t>
            </w:r>
            <w:r w:rsidR="009D0F95" w:rsidRPr="00D3050F">
              <w:rPr>
                <w:rFonts w:ascii="Palatino Linotype" w:hAnsi="Palatino Linotype"/>
                <w:lang w:val="az-Latn-AZ"/>
              </w:rPr>
              <w:t>103</w:t>
            </w:r>
            <w:r w:rsidRPr="00D3050F">
              <w:rPr>
                <w:rFonts w:ascii="Palatino Linotype" w:hAnsi="Palatino Linotype" w:cs="Arial"/>
                <w:lang w:val="az-Latn-AZ"/>
              </w:rPr>
              <w:t>/11</w:t>
            </w:r>
          </w:p>
        </w:tc>
      </w:tr>
      <w:tr w:rsidR="00D65165" w:rsidRPr="00D3050F" w14:paraId="4382053D" w14:textId="77777777" w:rsidTr="00D65165">
        <w:trPr>
          <w:trHeight w:val="333"/>
          <w:jc w:val="right"/>
        </w:trPr>
        <w:tc>
          <w:tcPr>
            <w:tcW w:w="5508" w:type="dxa"/>
          </w:tcPr>
          <w:p w14:paraId="29F31632" w14:textId="77777777" w:rsidR="00D65165" w:rsidRPr="00D3050F" w:rsidRDefault="00D65165" w:rsidP="00D65165">
            <w:pPr>
              <w:jc w:val="center"/>
              <w:rPr>
                <w:rFonts w:ascii="Palatino Linotype" w:hAnsi="Palatino Linotype"/>
                <w:lang w:val="az-Latn-AZ"/>
              </w:rPr>
            </w:pPr>
          </w:p>
        </w:tc>
        <w:tc>
          <w:tcPr>
            <w:tcW w:w="3780" w:type="dxa"/>
          </w:tcPr>
          <w:p w14:paraId="6DA73AA7" w14:textId="77777777" w:rsidR="00D65165" w:rsidRPr="00D3050F" w:rsidRDefault="003B6E9D" w:rsidP="00D65165">
            <w:pPr>
              <w:jc w:val="center"/>
              <w:rPr>
                <w:rFonts w:ascii="Palatino Linotype" w:hAnsi="Palatino Linotype"/>
                <w:lang w:val="az-Latn-AZ"/>
              </w:rPr>
            </w:pPr>
            <w:r w:rsidRPr="00D3050F">
              <w:rPr>
                <w:rFonts w:ascii="Palatino Linotype" w:hAnsi="Palatino Linotype"/>
                <w:lang w:val="az-Latn-AZ"/>
              </w:rPr>
              <w:t>3 sentyabr</w:t>
            </w:r>
            <w:r w:rsidR="00D65165" w:rsidRPr="00D3050F">
              <w:rPr>
                <w:rFonts w:ascii="Palatino Linotype" w:hAnsi="Palatino Linotype"/>
                <w:lang w:val="az-Latn-AZ"/>
              </w:rPr>
              <w:t xml:space="preserve"> 2013-cü il</w:t>
            </w:r>
          </w:p>
        </w:tc>
      </w:tr>
      <w:tr w:rsidR="00D65165" w:rsidRPr="00D3050F" w14:paraId="4D1F44B9" w14:textId="77777777" w:rsidTr="00D65165">
        <w:trPr>
          <w:trHeight w:val="333"/>
          <w:jc w:val="right"/>
        </w:trPr>
        <w:tc>
          <w:tcPr>
            <w:tcW w:w="5508" w:type="dxa"/>
          </w:tcPr>
          <w:p w14:paraId="6E0FD6A4" w14:textId="77777777" w:rsidR="00D65165" w:rsidRPr="00D3050F" w:rsidRDefault="00D65165" w:rsidP="00D65165">
            <w:pPr>
              <w:jc w:val="center"/>
              <w:rPr>
                <w:rFonts w:ascii="Palatino Linotype" w:hAnsi="Palatino Linotype"/>
                <w:b/>
                <w:lang w:val="az-Latn-AZ"/>
              </w:rPr>
            </w:pPr>
          </w:p>
        </w:tc>
        <w:tc>
          <w:tcPr>
            <w:tcW w:w="3780" w:type="dxa"/>
          </w:tcPr>
          <w:p w14:paraId="70AA377A"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b/>
                <w:lang w:val="az-Latn-AZ"/>
              </w:rPr>
              <w:t>Sədr</w:t>
            </w:r>
          </w:p>
        </w:tc>
      </w:tr>
      <w:tr w:rsidR="00D65165" w:rsidRPr="00D3050F" w14:paraId="5707AA5A" w14:textId="77777777" w:rsidTr="00D65165">
        <w:trPr>
          <w:trHeight w:val="333"/>
          <w:jc w:val="right"/>
        </w:trPr>
        <w:tc>
          <w:tcPr>
            <w:tcW w:w="5508" w:type="dxa"/>
          </w:tcPr>
          <w:p w14:paraId="439C3B5B" w14:textId="77777777" w:rsidR="00D65165" w:rsidRPr="00D3050F" w:rsidRDefault="00D65165" w:rsidP="00D65165">
            <w:pPr>
              <w:jc w:val="center"/>
              <w:rPr>
                <w:rFonts w:ascii="Palatino Linotype" w:hAnsi="Palatino Linotype"/>
                <w:lang w:val="az-Latn-AZ"/>
              </w:rPr>
            </w:pPr>
          </w:p>
        </w:tc>
        <w:tc>
          <w:tcPr>
            <w:tcW w:w="3780" w:type="dxa"/>
          </w:tcPr>
          <w:p w14:paraId="5B9DFD34"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lang w:val="az-Latn-AZ"/>
              </w:rPr>
              <w:t>________________</w:t>
            </w:r>
          </w:p>
        </w:tc>
      </w:tr>
      <w:tr w:rsidR="00D65165" w:rsidRPr="00D3050F" w14:paraId="710DC5B5" w14:textId="77777777" w:rsidTr="00D65165">
        <w:trPr>
          <w:trHeight w:val="333"/>
          <w:jc w:val="right"/>
        </w:trPr>
        <w:tc>
          <w:tcPr>
            <w:tcW w:w="5508" w:type="dxa"/>
          </w:tcPr>
          <w:p w14:paraId="5C1F1F34" w14:textId="77777777" w:rsidR="00D65165" w:rsidRPr="00D3050F" w:rsidRDefault="00D65165" w:rsidP="00D65165">
            <w:pPr>
              <w:jc w:val="center"/>
              <w:rPr>
                <w:rFonts w:ascii="Palatino Linotype" w:hAnsi="Palatino Linotype"/>
                <w:b/>
                <w:lang w:val="az-Latn-AZ"/>
              </w:rPr>
            </w:pPr>
          </w:p>
        </w:tc>
        <w:tc>
          <w:tcPr>
            <w:tcW w:w="3780" w:type="dxa"/>
          </w:tcPr>
          <w:p w14:paraId="30FCE5EF" w14:textId="77777777" w:rsidR="00D65165" w:rsidRPr="00D3050F" w:rsidRDefault="00D65165" w:rsidP="00D65165">
            <w:pPr>
              <w:jc w:val="center"/>
              <w:rPr>
                <w:rFonts w:ascii="Palatino Linotype" w:hAnsi="Palatino Linotype"/>
                <w:lang w:val="az-Latn-AZ"/>
              </w:rPr>
            </w:pPr>
            <w:r w:rsidRPr="00D3050F">
              <w:rPr>
                <w:rFonts w:ascii="Palatino Linotype" w:hAnsi="Palatino Linotype"/>
                <w:b/>
                <w:lang w:val="az-Latn-AZ"/>
              </w:rPr>
              <w:t>Arif Vəliyev</w:t>
            </w:r>
          </w:p>
        </w:tc>
      </w:tr>
    </w:tbl>
    <w:p w14:paraId="3866A053" w14:textId="77777777" w:rsidR="00D65165" w:rsidRPr="00D3050F" w:rsidRDefault="00D65165" w:rsidP="00D65165">
      <w:pPr>
        <w:rPr>
          <w:rFonts w:ascii="Palatino Linotype" w:hAnsi="Palatino Linotype"/>
          <w:lang w:val="az-Latn-AZ"/>
        </w:rPr>
      </w:pPr>
    </w:p>
    <w:p w14:paraId="54215576" w14:textId="77777777" w:rsidR="00D65165" w:rsidRPr="00D3050F" w:rsidRDefault="00D65165" w:rsidP="00D65165">
      <w:pPr>
        <w:rPr>
          <w:rFonts w:ascii="Palatino Linotype" w:hAnsi="Palatino Linotype"/>
          <w:lang w:val="az-Latn-AZ"/>
        </w:rPr>
      </w:pPr>
    </w:p>
    <w:p w14:paraId="1DD86A62" w14:textId="77777777" w:rsidR="00D65165" w:rsidRPr="00D3050F" w:rsidRDefault="00762812" w:rsidP="00D65165">
      <w:pPr>
        <w:jc w:val="center"/>
        <w:rPr>
          <w:rFonts w:ascii="Palatino Linotype" w:hAnsi="Palatino Linotype"/>
          <w:b/>
          <w:lang w:val="az-Latn-AZ"/>
        </w:rPr>
      </w:pPr>
      <w:r w:rsidRPr="00D3050F">
        <w:rPr>
          <w:rFonts w:ascii="Palatino Linotype" w:hAnsi="Palatino Linotype"/>
          <w:b/>
          <w:bCs/>
          <w:lang w:val="az-Latn-AZ"/>
        </w:rPr>
        <w:t xml:space="preserve">“Əkin sahələrinin qəti uçotu haqqında” </w:t>
      </w:r>
      <w:r w:rsidRPr="00D3050F">
        <w:rPr>
          <w:rFonts w:ascii="Palatino Linotype" w:hAnsi="Palatino Linotype"/>
          <w:b/>
          <w:lang w:val="az-Latn-AZ"/>
        </w:rPr>
        <w:t>4-k</w:t>
      </w:r>
      <w:r w:rsidRPr="00D3050F">
        <w:rPr>
          <w:rFonts w:ascii="Palatino Linotype" w:hAnsi="Palatino Linotype"/>
          <w:b/>
          <w:lang w:val="tr-TR"/>
        </w:rPr>
        <w:t xml:space="preserve">t </w:t>
      </w:r>
      <w:r w:rsidRPr="00D3050F">
        <w:rPr>
          <w:rFonts w:ascii="Palatino Linotype" w:hAnsi="Palatino Linotype"/>
          <w:b/>
          <w:lang w:val="az-Latn-AZ"/>
        </w:rPr>
        <w:t>№-</w:t>
      </w:r>
      <w:r w:rsidRPr="00D3050F">
        <w:rPr>
          <w:rFonts w:ascii="Palatino Linotype" w:hAnsi="Palatino Linotype"/>
          <w:b/>
          <w:lang w:val="tr-TR"/>
        </w:rPr>
        <w:t xml:space="preserve">li </w:t>
      </w:r>
      <w:r w:rsidRPr="00D3050F">
        <w:rPr>
          <w:rFonts w:ascii="Palatino Linotype" w:hAnsi="Palatino Linotype"/>
          <w:b/>
          <w:bCs/>
          <w:lang w:val="az-Latn-AZ"/>
        </w:rPr>
        <w:t>illik rəsmi statistika hesabatı formasının doldurulmasına dair</w:t>
      </w:r>
    </w:p>
    <w:p w14:paraId="1275F544" w14:textId="77777777" w:rsidR="00D65165" w:rsidRPr="00D3050F" w:rsidRDefault="00D65165" w:rsidP="00D65165">
      <w:pPr>
        <w:jc w:val="center"/>
        <w:rPr>
          <w:rFonts w:ascii="Palatino Linotype" w:hAnsi="Palatino Linotype"/>
          <w:b/>
          <w:lang w:val="az-Latn-AZ"/>
        </w:rPr>
      </w:pPr>
    </w:p>
    <w:p w14:paraId="524EE601" w14:textId="77777777" w:rsidR="00D65165" w:rsidRPr="00D3050F" w:rsidRDefault="00D65165" w:rsidP="00D65165">
      <w:pPr>
        <w:jc w:val="center"/>
        <w:rPr>
          <w:rFonts w:ascii="Palatino Linotype" w:hAnsi="Palatino Linotype"/>
          <w:b/>
          <w:spacing w:val="60"/>
          <w:lang w:val="az-Latn-AZ"/>
        </w:rPr>
      </w:pPr>
      <w:r w:rsidRPr="00D3050F">
        <w:rPr>
          <w:rFonts w:ascii="Palatino Linotype" w:hAnsi="Palatino Linotype"/>
          <w:b/>
          <w:spacing w:val="60"/>
          <w:lang w:val="az-Latn-AZ"/>
        </w:rPr>
        <w:t>GÖSTƏRİŞ</w:t>
      </w:r>
    </w:p>
    <w:p w14:paraId="37DA85F6" w14:textId="77777777" w:rsidR="00D65165" w:rsidRPr="00D3050F" w:rsidRDefault="00D65165" w:rsidP="00D65165">
      <w:pPr>
        <w:jc w:val="center"/>
        <w:rPr>
          <w:rFonts w:ascii="Palatino Linotype" w:hAnsi="Palatino Linotype"/>
          <w:b/>
          <w:lang w:val="az-Latn-AZ"/>
        </w:rPr>
      </w:pPr>
    </w:p>
    <w:p w14:paraId="555200CA"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bCs/>
          <w:lang w:val="az-Latn-AZ"/>
        </w:rPr>
        <w:t xml:space="preserve">“Əkin sahələrinin qəti uçotu haqqında” </w:t>
      </w:r>
      <w:r w:rsidRPr="00D3050F">
        <w:rPr>
          <w:rFonts w:ascii="Palatino Linotype" w:hAnsi="Palatino Linotype"/>
          <w:lang w:val="az-Latn-AZ"/>
        </w:rPr>
        <w:t>4-k</w:t>
      </w:r>
      <w:r w:rsidRPr="00D3050F">
        <w:rPr>
          <w:rFonts w:ascii="Palatino Linotype" w:hAnsi="Palatino Linotype"/>
          <w:lang w:val="tr-TR"/>
        </w:rPr>
        <w:t xml:space="preserve">t </w:t>
      </w:r>
      <w:r w:rsidRPr="00D3050F">
        <w:rPr>
          <w:rFonts w:ascii="Palatino Linotype" w:hAnsi="Palatino Linotype"/>
          <w:lang w:val="az-Latn-AZ"/>
        </w:rPr>
        <w:t>№-</w:t>
      </w:r>
      <w:r w:rsidRPr="00D3050F">
        <w:rPr>
          <w:rFonts w:ascii="Palatino Linotype" w:hAnsi="Palatino Linotype"/>
          <w:lang w:val="tr-TR"/>
        </w:rPr>
        <w:t xml:space="preserve">li </w:t>
      </w:r>
      <w:r w:rsidRPr="00D3050F">
        <w:rPr>
          <w:rFonts w:ascii="Palatino Linotype" w:hAnsi="Palatino Linotype"/>
          <w:bCs/>
          <w:lang w:val="az-Latn-AZ"/>
        </w:rPr>
        <w:t xml:space="preserve">illik </w:t>
      </w:r>
      <w:r w:rsidRPr="00D3050F">
        <w:rPr>
          <w:rFonts w:ascii="Palatino Linotype" w:hAnsi="Palatino Linotype"/>
          <w:lang w:val="az-Latn-AZ"/>
        </w:rPr>
        <w:t xml:space="preserve">rəsmi </w:t>
      </w:r>
      <w:r w:rsidRPr="00D3050F">
        <w:rPr>
          <w:rFonts w:ascii="Palatino Linotype" w:hAnsi="Palatino Linotype"/>
          <w:bCs/>
          <w:lang w:val="az-Latn-AZ"/>
        </w:rPr>
        <w:t xml:space="preserve">statistika hesabatı forması </w:t>
      </w:r>
      <w:r w:rsidRPr="00D3050F">
        <w:rPr>
          <w:rFonts w:ascii="Palatino Linotype" w:hAnsi="Palatino Linotype"/>
          <w:lang w:val="az-Latn-AZ"/>
        </w:rPr>
        <w:t>(bundan sonra-hesabat forması) ildə bir dəfə, yazlıq bitkilərin səpini qurtardıqdan sonra kənd təsərrüfatı müəssisələri, kənd təsərrüfatı elmi-tədqiqat təşkilatlarının, tədris müəssisələrinin təsərrüfatları, habelə digər müəssisələrin və idarələrin yardımçı təsərrüfatları tərəfindən tərtib olunur.</w:t>
      </w:r>
    </w:p>
    <w:p w14:paraId="45F517BB"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Tərtib olunmuş hesabat təsərrüfatın keçən ilin payızında faktiki səpilmiş payızlıq bitkilərin əkin sahələri (7-kt №-li forma) və yazlıq bitkilərin səpini haqqında (3-kt №-li forma) məlumatlarla üzləşdirmək yolu ilə, habelə yekun sətirlərin cəmləşdirilməsi yolu ilə yoxlanılmalıdır.</w:t>
      </w:r>
    </w:p>
    <w:p w14:paraId="669C2C4F"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Hesabat forması üzrə nəzərdə tutulmuş ayrı-ayrı bitkilər ayrılmaqla cari ilin məhsulu üçün əkinlərin faktiki ümumi sahəsi göstərilir. Bu halda, nəzərə almaq lazımdır ki, təsərrüfatdaxili yerquruluşu planları ilə nəzərdə tutulmuş müvəqqəti torpaq yolları əkin sahələrindən çıxılmır.</w:t>
      </w:r>
    </w:p>
    <w:p w14:paraId="105CC891" w14:textId="77777777" w:rsidR="003B6E9D"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 xml:space="preserve">“Cari ilin məhsulu üçün dən və yaşıl yem üçün payızlıqlar” bölməsində (sətir </w:t>
      </w:r>
      <w:r w:rsidRPr="00D3050F">
        <w:rPr>
          <w:rFonts w:ascii="Palatino Linotype" w:hAnsi="Palatino Linotype"/>
          <w:b/>
          <w:lang w:val="az-Latn-AZ"/>
        </w:rPr>
        <w:t>01-13</w:t>
      </w:r>
      <w:r w:rsidRPr="00D3050F">
        <w:rPr>
          <w:rFonts w:ascii="Palatino Linotype" w:hAnsi="Palatino Linotype"/>
          <w:lang w:val="az-Latn-AZ"/>
        </w:rPr>
        <w:t>) cari ilin məhsulu üçün keçən ilin payızında əkilmiş payızlıq buğda, çovdar, arpa və həmin təsərrüfatda kütləvi yazlıq bitkilərin səpini başlananadək payız-qış dövründə tam tələf olmuş payızlıqları çıxmaqla yazlıq buğda, çovdar, arpa altında salamat qalmış sahələr; yazlıq bitkilər səpini aparılmış yaşıl yem və silos üçün istifadə olunmuş payızlıqlar sahəsi; habelə yazlıq bitkilərin səpini aparılmamış dənəvər yem (qranul) və briket əldə etmək, otarmaq, yaşıl yem və silos üçün payızlıqların əkin sahələri göstərilir.</w:t>
      </w:r>
    </w:p>
    <w:p w14:paraId="52870B70"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Təsərrüfatda yazlıq bitkilərin kütləvi səpini başlananadək payız-qış dövründə məhv olmuş payızlıqların tələfatı barədə məlumatlar diqqətlə yoxlanılmalıdır. Payızlıqların məhv olması kənd təsərrüfatı müəssisələrində tərtib olunmuş aktlara əsasən müəyyənləşdirilir.</w:t>
      </w:r>
    </w:p>
    <w:p w14:paraId="21CE9A56" w14:textId="77777777" w:rsidR="00D65165"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Tələf olmuş payızlıq əkin yerində yenidən yazlıq bitkilər səpilmiş, habelə yenidən səpin aparılmamış sahələr, tam tələf olmuş əkin sahəsi hesab olunur. Seyrəlmiş əkin sahəsi tələf olmuş hesab edilmir.</w:t>
      </w:r>
    </w:p>
    <w:p w14:paraId="0E039622" w14:textId="77777777" w:rsidR="003B6E9D" w:rsidRPr="00D3050F" w:rsidRDefault="00762812" w:rsidP="002F7A44">
      <w:pPr>
        <w:ind w:firstLine="567"/>
        <w:jc w:val="both"/>
        <w:rPr>
          <w:rFonts w:ascii="Palatino Linotype" w:hAnsi="Palatino Linotype"/>
          <w:lang w:val="az-Latn-AZ"/>
        </w:rPr>
      </w:pPr>
      <w:r w:rsidRPr="00D3050F">
        <w:rPr>
          <w:rFonts w:ascii="Palatino Linotype" w:hAnsi="Palatino Linotype"/>
          <w:b/>
          <w:lang w:val="az-Latn-AZ"/>
        </w:rPr>
        <w:t>12-ci</w:t>
      </w:r>
      <w:r w:rsidRPr="00D3050F">
        <w:rPr>
          <w:rFonts w:ascii="Palatino Linotype" w:hAnsi="Palatino Linotype"/>
          <w:lang w:val="az-Latn-AZ"/>
        </w:rPr>
        <w:t xml:space="preserve"> “Yazlıq bitkilər əkilməyən sahələrdə yaşıl yem, silos, otarmaq,</w:t>
      </w:r>
      <w:r w:rsidR="002F7A44" w:rsidRPr="00D3050F">
        <w:rPr>
          <w:rFonts w:ascii="Palatino Linotype" w:hAnsi="Palatino Linotype"/>
          <w:lang w:val="az-Latn-AZ"/>
        </w:rPr>
        <w:t xml:space="preserve"> </w:t>
      </w:r>
      <w:r w:rsidRPr="00D3050F">
        <w:rPr>
          <w:rFonts w:ascii="Palatino Linotype" w:hAnsi="Palatino Linotype"/>
          <w:lang w:val="az-Latn-AZ"/>
        </w:rPr>
        <w:t xml:space="preserve">dənəvər yem və briket üçün olan əkinləri də daxil etməklə cəmi” sətrində yazlıq bitkilər səpini </w:t>
      </w:r>
      <w:r w:rsidRPr="00D3050F">
        <w:rPr>
          <w:rFonts w:ascii="Palatino Linotype" w:hAnsi="Palatino Linotype"/>
          <w:lang w:val="az-Latn-AZ"/>
        </w:rPr>
        <w:lastRenderedPageBreak/>
        <w:t>qurtaranadək hələ heyvanlara yedizdirilməmiş yaşıl yem, silos, otarmaq, dənəvər yem və briket üçün əkilmiş payızlıqların sahəsi, həmçinin yazlıq bitkilər səpini qurtaranadək yazlıq bitkilər səpini aparılmamış, lakin yaşıl yem üçün istifadə olunmuş payızlıq bitkilərin sahəsi göstərilir.</w:t>
      </w:r>
    </w:p>
    <w:p w14:paraId="3AA3555E"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“Cari ilin məhsulu üçün yazlıq bitkilər” bölməsində yalnız cari</w:t>
      </w:r>
      <w:r w:rsidR="002F7A44" w:rsidRPr="00D3050F">
        <w:rPr>
          <w:rFonts w:ascii="Palatino Linotype" w:hAnsi="Palatino Linotype"/>
          <w:lang w:val="az-Latn-AZ"/>
        </w:rPr>
        <w:t xml:space="preserve"> </w:t>
      </w:r>
      <w:r w:rsidRPr="00D3050F">
        <w:rPr>
          <w:rFonts w:ascii="Palatino Linotype" w:hAnsi="Palatino Linotype"/>
          <w:lang w:val="az-Latn-AZ"/>
        </w:rPr>
        <w:t>ilin məhsulu üçün yazlıq bitkilər səpilmiş bütün sahələr göstərilir.</w:t>
      </w:r>
    </w:p>
    <w:p w14:paraId="270EC7C6"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Buraya o yazlıq bitkilərin sahəsi də daxil edilir ki, qəti hesabat tərtib olunanadək payızlıq bitkilər sahəsi yaşıl yem, silos və otarmaq üçün istifadə olunmuşdur.</w:t>
      </w:r>
    </w:p>
    <w:p w14:paraId="7D12BB7C"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Tələf olmuş payızlıqlar sahəsində aparılan yazlıq bitkilərin əkin sahəsi əlavə olaraq səpilən</w:t>
      </w:r>
      <w:r w:rsidR="002F7A44" w:rsidRPr="00D3050F">
        <w:rPr>
          <w:rFonts w:ascii="Palatino Linotype" w:hAnsi="Palatino Linotype"/>
          <w:lang w:val="az-Latn-AZ"/>
        </w:rPr>
        <w:t xml:space="preserve"> </w:t>
      </w:r>
      <w:r w:rsidRPr="00D3050F">
        <w:rPr>
          <w:rFonts w:ascii="Palatino Linotype" w:hAnsi="Palatino Linotype"/>
          <w:lang w:val="az-Latn-AZ"/>
        </w:rPr>
        <w:t>bitki növünün sahəsinə daxil edilir.</w:t>
      </w:r>
    </w:p>
    <w:p w14:paraId="52AF8BF7"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Əgər yaz dövründə yazlıq və payızlıq bitkilərin tələf olması halları olmuşsa və onların yenidən səpini yazlıq bitkilərlə aparılırsa, onda əvvəlcə səpilmiş bitki sahəsi (yazda tələf olmuş payızlıqlar altında əkilmiş otların salamat qalmış sahələrini də daxil etməklə) faktiki yeni səpin sahəsi həcmində hesabatdan çıxılır, hesabata isə, o yazlıq bitkinin sahəsi daxil edilir ki, həmin tələf olmuş bitkilərin sahəsində yenidən səpin aparılmışdır.</w:t>
      </w:r>
    </w:p>
    <w:p w14:paraId="33996FC1"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 xml:space="preserve">Yaz dövründə tələf olmuş yazlıqların və payızlıqların yerində yenidən səpin aparılmamış sahələr (payızlıqlar tələf olduğu və onlarla birlikdə əkilmiş otlar salamat qaldığı hallardan başqa) hesabatdan çıxarılmır. Yazda örtük bitkiləri tələf olandan sonra salamat qalmış ot sahələri </w:t>
      </w:r>
      <w:r w:rsidRPr="00D3050F">
        <w:rPr>
          <w:rFonts w:ascii="Palatino Linotype" w:hAnsi="Palatino Linotype"/>
          <w:b/>
          <w:lang w:val="az-Latn-AZ"/>
        </w:rPr>
        <w:t>22-ci</w:t>
      </w:r>
      <w:r w:rsidRPr="00D3050F">
        <w:rPr>
          <w:rFonts w:ascii="Palatino Linotype" w:hAnsi="Palatino Linotype"/>
          <w:lang w:val="az-Latn-AZ"/>
        </w:rPr>
        <w:t xml:space="preserve"> “ondan başqa örtüklü çoxillik otlar cəmi” - sətrində uçota alınır.</w:t>
      </w:r>
    </w:p>
    <w:p w14:paraId="2060FD9B"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Qışqabağı aparılmış tərəvəz və sair bitkilərin (məsələn: yerkökü, çöl noxudu, acı paxla, noxud, günəbaxan və s.) əkin sahələrinin az olmasını nəzərə alaraq, onların sahəsi eyni adlı yazlıq bitkilərlə birlikdə uçota alınır. Yayda əkilmiş kartofun əkin sahəsi yazlıq əkinlə birlikdə uçota alınır (bu əkinlər ayrılmır).</w:t>
      </w:r>
    </w:p>
    <w:p w14:paraId="43EDE984"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Bütün payızlıq və yazlıq bitkilərin cəmi əkin sahəsi (keçmiş illərin çoxillik otları və örtüklü otları sahəsi daxil olmadan) yaz əkininin axırınadək salamat qalmış payızlıqların əkinini, yazlıq bitkilər əkilməyən sahələrdə yaşıl yem, silos, otarmaq, dənəvər yem və briket üçün olan əkinlərin cəmini, yazlıq dənliləri və dən üçün qarğıdalı da daxil olmaqla</w:t>
      </w:r>
      <w:r w:rsidR="002F7A44" w:rsidRPr="00D3050F">
        <w:rPr>
          <w:rFonts w:ascii="Palatino Linotype" w:hAnsi="Palatino Linotype"/>
          <w:lang w:val="az-Latn-AZ"/>
        </w:rPr>
        <w:t xml:space="preserve"> </w:t>
      </w:r>
      <w:r w:rsidRPr="00D3050F">
        <w:rPr>
          <w:rFonts w:ascii="Palatino Linotype" w:hAnsi="Palatino Linotype"/>
          <w:lang w:val="az-Latn-AZ"/>
        </w:rPr>
        <w:t>dənli paxlalıların, texniki bitkilərin, kartofun, tərəvəzin, bostan və yem bitkilərinin sahələrini cəmləmək yolu ilə alınır.</w:t>
      </w:r>
    </w:p>
    <w:p w14:paraId="19244E5D" w14:textId="77777777" w:rsidR="00762812" w:rsidRPr="00D3050F" w:rsidRDefault="00762812" w:rsidP="002F7A44">
      <w:pPr>
        <w:ind w:firstLine="567"/>
        <w:jc w:val="both"/>
        <w:rPr>
          <w:rFonts w:ascii="Palatino Linotype" w:hAnsi="Palatino Linotype"/>
          <w:lang w:val="az-Latn-AZ"/>
        </w:rPr>
      </w:pPr>
      <w:r w:rsidRPr="00D3050F">
        <w:rPr>
          <w:rFonts w:ascii="Palatino Linotype" w:hAnsi="Palatino Linotype"/>
          <w:lang w:val="az-Latn-AZ"/>
        </w:rPr>
        <w:t>“Cari ilin məhsulu üçün yazlıq bitkilər” bölməsində uçota alınan ayrı-ayrı bitkilər üzrə aşağıdakıları nəzərə almaq lazımdır:</w:t>
      </w:r>
    </w:p>
    <w:p w14:paraId="20DEFE5C" w14:textId="77777777" w:rsidR="00762812" w:rsidRPr="00D3050F" w:rsidRDefault="00762812" w:rsidP="00D65165">
      <w:pPr>
        <w:jc w:val="both"/>
        <w:rPr>
          <w:rFonts w:ascii="Palatino Linotype" w:hAnsi="Palatino Linotype"/>
          <w:lang w:val="az-Latn-AZ"/>
        </w:rPr>
      </w:pPr>
    </w:p>
    <w:p w14:paraId="25D0C838" w14:textId="77777777" w:rsidR="00762812" w:rsidRPr="00D3050F" w:rsidRDefault="00762812" w:rsidP="00762812">
      <w:pPr>
        <w:jc w:val="center"/>
        <w:rPr>
          <w:rFonts w:ascii="Palatino Linotype" w:hAnsi="Palatino Linotype"/>
          <w:lang w:val="az-Latn-AZ"/>
        </w:rPr>
      </w:pPr>
      <w:r w:rsidRPr="00D3050F">
        <w:rPr>
          <w:rFonts w:ascii="Palatino Linotype" w:hAnsi="Palatino Linotype"/>
          <w:b/>
          <w:lang w:val="az-Latn-AZ"/>
        </w:rPr>
        <w:t>1.</w:t>
      </w:r>
      <w:r w:rsidRPr="00D3050F">
        <w:rPr>
          <w:rFonts w:ascii="Palatino Linotype" w:hAnsi="Palatino Linotype"/>
          <w:lang w:val="az-Latn-AZ"/>
        </w:rPr>
        <w:t xml:space="preserve"> </w:t>
      </w:r>
      <w:r w:rsidRPr="00D3050F">
        <w:rPr>
          <w:rFonts w:ascii="Palatino Linotype" w:hAnsi="Palatino Linotype"/>
          <w:b/>
          <w:lang w:val="az-Latn-AZ"/>
        </w:rPr>
        <w:t>Dənli və dənli paxlalı bitkilər üzrə</w:t>
      </w:r>
    </w:p>
    <w:p w14:paraId="559DDA0B" w14:textId="77777777" w:rsidR="00762812" w:rsidRPr="00D3050F" w:rsidRDefault="00762812" w:rsidP="00D65165">
      <w:pPr>
        <w:jc w:val="both"/>
        <w:rPr>
          <w:rFonts w:ascii="Palatino Linotype" w:hAnsi="Palatino Linotype"/>
          <w:lang w:val="az-Latn-AZ"/>
        </w:rPr>
      </w:pPr>
    </w:p>
    <w:p w14:paraId="23C2BFB3"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“Yazlıq dənli və dənli paxlalı bitkilər” bölməsinə sütül-mum və mum yetişmiş qarğıdalı əkinləri, yaşıl yem, ot, silos və otarmaq üçün dənlilər və dənli paxlalılar əkinləri, ot üçün çöl noxudu və çöl noxudunun qarışığı əkinləri daxil edilmir.</w:t>
      </w:r>
    </w:p>
    <w:p w14:paraId="0140F87E"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Toxum üçün lobya və paxlanın tərəvəz növü tərəvəz qrupu üzrə yox, dənlilər və dənli paxlalılar qrupunda uçota alınır, dən üçün tərəvəz növlü noxudun (göy noxudun) müqavilə bağlanmış sahəsi isə tərəvəzin tərkibində uçota alınmalıdır.</w:t>
      </w:r>
    </w:p>
    <w:p w14:paraId="3489B1AC"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 xml:space="preserve">Dən üçün tərəvəz növlü noxudun (göy noxudun) qalan müqavilə bağlanmamış sahəsi dənli və dənli paxlalılar qrupunda </w:t>
      </w:r>
      <w:r w:rsidRPr="00D3050F">
        <w:rPr>
          <w:rFonts w:ascii="Palatino Linotype" w:hAnsi="Palatino Linotype"/>
          <w:b/>
          <w:lang w:val="az-Latn-AZ"/>
        </w:rPr>
        <w:t>15.1-ci</w:t>
      </w:r>
      <w:r w:rsidRPr="00D3050F">
        <w:rPr>
          <w:rFonts w:ascii="Palatino Linotype" w:hAnsi="Palatino Linotype"/>
          <w:lang w:val="az-Latn-AZ"/>
        </w:rPr>
        <w:t xml:space="preserve"> “noxud” sətri üzrə uçota alınır.</w:t>
      </w:r>
    </w:p>
    <w:p w14:paraId="2171DA4C" w14:textId="77777777" w:rsidR="00762812" w:rsidRPr="00D3050F" w:rsidRDefault="00762812" w:rsidP="00D65165">
      <w:pPr>
        <w:jc w:val="both"/>
        <w:rPr>
          <w:rFonts w:ascii="Palatino Linotype" w:hAnsi="Palatino Linotype"/>
          <w:lang w:val="az-Latn-AZ"/>
        </w:rPr>
      </w:pPr>
    </w:p>
    <w:p w14:paraId="27D0472D" w14:textId="77777777" w:rsidR="00762812" w:rsidRPr="00D3050F" w:rsidRDefault="00762812" w:rsidP="002F7A44">
      <w:pPr>
        <w:jc w:val="center"/>
        <w:rPr>
          <w:rFonts w:ascii="Palatino Linotype" w:hAnsi="Palatino Linotype"/>
          <w:lang w:val="az-Latn-AZ"/>
        </w:rPr>
      </w:pPr>
      <w:r w:rsidRPr="00D3050F">
        <w:rPr>
          <w:rFonts w:ascii="Palatino Linotype" w:hAnsi="Palatino Linotype"/>
          <w:b/>
          <w:lang w:val="az-Latn-AZ"/>
        </w:rPr>
        <w:t>1.1.</w:t>
      </w:r>
      <w:r w:rsidRPr="00D3050F">
        <w:rPr>
          <w:rFonts w:ascii="Palatino Linotype" w:hAnsi="Palatino Linotype"/>
          <w:lang w:val="az-Latn-AZ"/>
        </w:rPr>
        <w:t xml:space="preserve"> </w:t>
      </w:r>
      <w:r w:rsidRPr="00D3050F">
        <w:rPr>
          <w:rFonts w:ascii="Palatino Linotype" w:hAnsi="Palatino Linotype"/>
          <w:b/>
          <w:lang w:val="az-Latn-AZ"/>
        </w:rPr>
        <w:t>Qarğıdalı və sorqo üzrə</w:t>
      </w:r>
    </w:p>
    <w:p w14:paraId="7C4755F5" w14:textId="77777777" w:rsidR="00762812" w:rsidRPr="00D3050F" w:rsidRDefault="00762812" w:rsidP="00D65165">
      <w:pPr>
        <w:jc w:val="both"/>
        <w:rPr>
          <w:rFonts w:ascii="Palatino Linotype" w:hAnsi="Palatino Linotype"/>
          <w:lang w:val="az-Latn-AZ"/>
        </w:rPr>
      </w:pPr>
    </w:p>
    <w:p w14:paraId="57B9A0EF"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Qarğıdalı əkinlərinə daxil edilir:</w:t>
      </w:r>
    </w:p>
    <w:p w14:paraId="075FDBE7"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 dən üçün tam yetişmiş qarğıdalı, hansı ki, yazlıq dənli və dənli paxlalı bitkilər bölməsində uçota alınır;</w:t>
      </w:r>
    </w:p>
    <w:p w14:paraId="0383CFB0"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 silos və yaşıl yem üçün sütül-muma qədər, sütül-mum və mum dərəcəsinə qədər yetişmiş qarğıdalı, bu qarğıdalı əkinləri bir göstərici ilə yem bitkiləri bölməsində göstərilir.</w:t>
      </w:r>
    </w:p>
    <w:p w14:paraId="72C35133"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Dən üçün tam yetişməmiş qarğıdalı aşağıdakı göstəricilər üzrə uçota alınır:</w:t>
      </w:r>
    </w:p>
    <w:p w14:paraId="4A0F0F8E"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b/>
          <w:lang w:val="az-Latn-AZ"/>
        </w:rPr>
        <w:t>14.5</w:t>
      </w:r>
      <w:r w:rsidR="002F7A44" w:rsidRPr="00D3050F">
        <w:rPr>
          <w:rFonts w:ascii="Palatino Linotype" w:hAnsi="Palatino Linotype"/>
          <w:lang w:val="az-Latn-AZ"/>
        </w:rPr>
        <w:t xml:space="preserve"> </w:t>
      </w:r>
      <w:r w:rsidRPr="00D3050F">
        <w:rPr>
          <w:rFonts w:ascii="Palatino Linotype" w:hAnsi="Palatino Linotype"/>
          <w:lang w:val="az-Latn-AZ"/>
        </w:rPr>
        <w:t>dən üçün qarğıdalı,</w:t>
      </w:r>
      <w:r w:rsidR="002F7A44" w:rsidRPr="00D3050F">
        <w:rPr>
          <w:rFonts w:ascii="Palatino Linotype" w:hAnsi="Palatino Linotype"/>
          <w:lang w:val="az-Latn-AZ"/>
        </w:rPr>
        <w:t xml:space="preserve"> </w:t>
      </w:r>
      <w:r w:rsidRPr="00D3050F">
        <w:rPr>
          <w:rFonts w:ascii="Palatino Linotype" w:hAnsi="Palatino Linotype"/>
          <w:lang w:val="az-Latn-AZ"/>
        </w:rPr>
        <w:t>o cümlədən:</w:t>
      </w:r>
    </w:p>
    <w:p w14:paraId="3ED4A882"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b/>
          <w:lang w:val="az-Latn-AZ"/>
        </w:rPr>
        <w:t>14.5.1</w:t>
      </w:r>
      <w:r w:rsidR="002F7A44" w:rsidRPr="00D3050F">
        <w:rPr>
          <w:rFonts w:ascii="Palatino Linotype" w:hAnsi="Palatino Linotype"/>
          <w:lang w:val="az-Latn-AZ"/>
        </w:rPr>
        <w:t xml:space="preserve"> </w:t>
      </w:r>
      <w:r w:rsidRPr="00D3050F">
        <w:rPr>
          <w:rFonts w:ascii="Palatino Linotype" w:hAnsi="Palatino Linotype"/>
          <w:lang w:val="az-Latn-AZ"/>
        </w:rPr>
        <w:t>dən üçün (toxumluq əkinlərdən başqa);</w:t>
      </w:r>
    </w:p>
    <w:p w14:paraId="7F51489B"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b/>
          <w:lang w:val="az-Latn-AZ"/>
        </w:rPr>
        <w:t>14.5.2</w:t>
      </w:r>
      <w:r w:rsidR="002F7A44" w:rsidRPr="00D3050F">
        <w:rPr>
          <w:rFonts w:ascii="Palatino Linotype" w:hAnsi="Palatino Linotype"/>
          <w:lang w:val="az-Latn-AZ"/>
        </w:rPr>
        <w:t xml:space="preserve"> </w:t>
      </w:r>
      <w:r w:rsidRPr="00D3050F">
        <w:rPr>
          <w:rFonts w:ascii="Palatino Linotype" w:hAnsi="Palatino Linotype"/>
          <w:lang w:val="az-Latn-AZ"/>
        </w:rPr>
        <w:t>toxumluq əkinlər.</w:t>
      </w:r>
    </w:p>
    <w:p w14:paraId="6C5B6A27"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Toxumluq qarğıdalı əkininə öz-özünə tozlanan cərgənin çoxalması, adi və üçcərgəli</w:t>
      </w:r>
      <w:r w:rsidR="002F7A44" w:rsidRPr="00D3050F">
        <w:rPr>
          <w:rFonts w:ascii="Palatino Linotype" w:hAnsi="Palatino Linotype"/>
          <w:lang w:val="az-Latn-AZ"/>
        </w:rPr>
        <w:t xml:space="preserve"> </w:t>
      </w:r>
      <w:r w:rsidRPr="00D3050F">
        <w:rPr>
          <w:rFonts w:ascii="Palatino Linotype" w:hAnsi="Palatino Linotype"/>
          <w:lang w:val="az-Latn-AZ"/>
        </w:rPr>
        <w:t>hibridlərin, törədici (ata-ana) növlü hibridlərin 1-ci reproduksiyaya qədər olan növlərinin sahələri; məhsulu gələcəkdə çoxalmaq (3-cü reproduksiyaya qədər) üçün, yaxud əmtəə məqsədilə əkilmək üçün müəyyən olunmuş yüksək reproduksiya növlərinin çoxalma sahələri; adi və çoxcərgəli hibridlərin hibridləşdirilmə sahələri; toxum əldə etmək üçün müəyyənləşdirilmiş sahələrə müstəsna hallarda 1-ci nəsil hibridlərin istehsalı sahələri aiddir.</w:t>
      </w:r>
    </w:p>
    <w:p w14:paraId="0A044026" w14:textId="77777777" w:rsidR="00762812" w:rsidRPr="00D3050F" w:rsidRDefault="00762812" w:rsidP="002F7A44">
      <w:pPr>
        <w:ind w:firstLine="540"/>
        <w:jc w:val="both"/>
        <w:rPr>
          <w:rFonts w:ascii="Palatino Linotype" w:hAnsi="Palatino Linotype"/>
          <w:lang w:val="az-Latn-AZ"/>
        </w:rPr>
      </w:pPr>
      <w:r w:rsidRPr="00D3050F">
        <w:rPr>
          <w:rFonts w:ascii="Palatino Linotype" w:hAnsi="Palatino Linotype"/>
          <w:lang w:val="az-Latn-AZ"/>
        </w:rPr>
        <w:t>Küləşi süpürgə üçün istifadə edilən sorqonun əkin sahəsini dənli bitkilər qrupunda uçota almaq lazımdır.</w:t>
      </w:r>
    </w:p>
    <w:p w14:paraId="601DAD85" w14:textId="77777777" w:rsidR="00762812" w:rsidRPr="00D3050F" w:rsidRDefault="00762812" w:rsidP="00D65165">
      <w:pPr>
        <w:jc w:val="both"/>
        <w:rPr>
          <w:rFonts w:ascii="Palatino Linotype" w:hAnsi="Palatino Linotype"/>
          <w:lang w:val="az-Latn-AZ"/>
        </w:rPr>
      </w:pPr>
    </w:p>
    <w:p w14:paraId="6D96BE9A" w14:textId="77777777" w:rsidR="00762812" w:rsidRPr="00D3050F" w:rsidRDefault="00762812" w:rsidP="00762812">
      <w:pPr>
        <w:jc w:val="center"/>
        <w:rPr>
          <w:rFonts w:ascii="Palatino Linotype" w:hAnsi="Palatino Linotype"/>
          <w:lang w:val="az-Latn-AZ"/>
        </w:rPr>
      </w:pPr>
      <w:r w:rsidRPr="00D3050F">
        <w:rPr>
          <w:rFonts w:ascii="Palatino Linotype" w:hAnsi="Palatino Linotype"/>
          <w:b/>
          <w:lang w:val="az-Latn-AZ"/>
        </w:rPr>
        <w:t>1.2.</w:t>
      </w:r>
      <w:r w:rsidRPr="00D3050F">
        <w:rPr>
          <w:rFonts w:ascii="Palatino Linotype" w:hAnsi="Palatino Linotype"/>
          <w:lang w:val="az-Latn-AZ"/>
        </w:rPr>
        <w:t xml:space="preserve"> </w:t>
      </w:r>
      <w:r w:rsidRPr="00D3050F">
        <w:rPr>
          <w:rFonts w:ascii="Palatino Linotype" w:hAnsi="Palatino Linotype"/>
          <w:b/>
          <w:lang w:val="az-Latn-AZ"/>
        </w:rPr>
        <w:t>Bərk, yumşaq və qüvvəli yumşaq</w:t>
      </w:r>
      <w:r w:rsidR="002F7A44" w:rsidRPr="00D3050F">
        <w:rPr>
          <w:rFonts w:ascii="Palatino Linotype" w:hAnsi="Palatino Linotype"/>
          <w:b/>
          <w:lang w:val="az-Latn-AZ"/>
        </w:rPr>
        <w:t xml:space="preserve"> </w:t>
      </w:r>
      <w:r w:rsidRPr="00D3050F">
        <w:rPr>
          <w:rFonts w:ascii="Palatino Linotype" w:hAnsi="Palatino Linotype"/>
          <w:b/>
          <w:lang w:val="az-Latn-AZ"/>
        </w:rPr>
        <w:t>buğda əkinləri</w:t>
      </w:r>
    </w:p>
    <w:p w14:paraId="4B1AFA61" w14:textId="77777777" w:rsidR="00762812" w:rsidRPr="00D3050F" w:rsidRDefault="00762812" w:rsidP="00D65165">
      <w:pPr>
        <w:jc w:val="both"/>
        <w:rPr>
          <w:rFonts w:ascii="Palatino Linotype" w:hAnsi="Palatino Linotype"/>
          <w:lang w:val="az-Latn-AZ"/>
        </w:rPr>
      </w:pPr>
    </w:p>
    <w:p w14:paraId="65042C62" w14:textId="77777777" w:rsidR="00DE0AD1" w:rsidRPr="00D3050F" w:rsidRDefault="00DE0AD1" w:rsidP="002F7A44">
      <w:pPr>
        <w:ind w:firstLine="540"/>
        <w:jc w:val="both"/>
        <w:rPr>
          <w:rFonts w:ascii="Palatino Linotype" w:hAnsi="Palatino Linotype"/>
          <w:lang w:val="az-Latn-AZ"/>
        </w:rPr>
      </w:pPr>
      <w:r w:rsidRPr="00D3050F">
        <w:rPr>
          <w:rFonts w:ascii="Palatino Linotype" w:hAnsi="Palatino Linotype"/>
          <w:lang w:val="az-Latn-AZ"/>
        </w:rPr>
        <w:t xml:space="preserve">Buğda bоtаniki və əmtəə </w:t>
      </w:r>
      <w:r w:rsidR="00C47F57" w:rsidRPr="00D3050F">
        <w:rPr>
          <w:rFonts w:ascii="Palatino Linotype" w:hAnsi="Palatino Linotype"/>
          <w:lang w:val="az-Latn-AZ"/>
        </w:rPr>
        <w:t>təsnifatına</w:t>
      </w:r>
      <w:r w:rsidRPr="00D3050F">
        <w:rPr>
          <w:rFonts w:ascii="Palatino Linotype" w:hAnsi="Palatino Linotype"/>
          <w:lang w:val="az-Latn-AZ"/>
        </w:rPr>
        <w:t xml:space="preserve"> görə bərk və yumşаq</w:t>
      </w:r>
      <w:r w:rsidR="002F7A44" w:rsidRPr="00D3050F">
        <w:rPr>
          <w:rFonts w:ascii="Palatino Linotype" w:hAnsi="Palatino Linotype"/>
          <w:lang w:val="az-Latn-AZ"/>
        </w:rPr>
        <w:t xml:space="preserve"> </w:t>
      </w:r>
      <w:r w:rsidRPr="00D3050F">
        <w:rPr>
          <w:rFonts w:ascii="Palatino Linotype" w:hAnsi="Palatino Linotype"/>
          <w:lang w:val="az-Latn-AZ"/>
        </w:rPr>
        <w:t>buğdаya</w:t>
      </w:r>
      <w:r w:rsidR="002F7A44" w:rsidRPr="00D3050F">
        <w:rPr>
          <w:rFonts w:ascii="Palatino Linotype" w:hAnsi="Palatino Linotype"/>
          <w:lang w:val="az-Latn-AZ"/>
        </w:rPr>
        <w:t xml:space="preserve"> </w:t>
      </w:r>
      <w:r w:rsidRPr="00D3050F">
        <w:rPr>
          <w:rFonts w:ascii="Palatino Linotype" w:hAnsi="Palatino Linotype"/>
          <w:lang w:val="az-Latn-AZ"/>
        </w:rPr>
        <w:t>ayrılır.</w:t>
      </w:r>
    </w:p>
    <w:p w14:paraId="6C27A0F0" w14:textId="77777777" w:rsidR="00DE0AD1" w:rsidRPr="00D3050F" w:rsidRDefault="00DE0AD1" w:rsidP="002F7A44">
      <w:pPr>
        <w:ind w:firstLine="540"/>
        <w:jc w:val="both"/>
        <w:rPr>
          <w:rFonts w:ascii="Palatino Linotype" w:hAnsi="Palatino Linotype"/>
          <w:lang w:val="az-Latn-AZ"/>
        </w:rPr>
      </w:pPr>
      <w:r w:rsidRPr="00D3050F">
        <w:rPr>
          <w:rFonts w:ascii="Palatino Linotype" w:hAnsi="Palatino Linotype"/>
          <w:lang w:val="az-Latn-AZ"/>
        </w:rPr>
        <w:t>Bərk buğdanın sünbülü dolu, dəni uzunsov sarı, açıq və ya tünd kəhrаbа rəngində şüşəvаri olur. Payızlıq və yazlıq bərk buğda becərilir. Bərk buğdanın unundan əsasən</w:t>
      </w:r>
      <w:r w:rsidR="002F7A44" w:rsidRPr="00D3050F">
        <w:rPr>
          <w:rFonts w:ascii="Palatino Linotype" w:hAnsi="Palatino Linotype"/>
          <w:lang w:val="az-Latn-AZ"/>
        </w:rPr>
        <w:t xml:space="preserve"> </w:t>
      </w:r>
      <w:r w:rsidRPr="00D3050F">
        <w:rPr>
          <w:rFonts w:ascii="Palatino Linotype" w:hAnsi="Palatino Linotype"/>
          <w:lang w:val="az-Latn-AZ"/>
        </w:rPr>
        <w:t>mаkаrоn, əriştə və qənnadı məmulatları istеhsаl edilir.</w:t>
      </w:r>
    </w:p>
    <w:p w14:paraId="47560243" w14:textId="77777777" w:rsidR="00DE0AD1" w:rsidRPr="00D3050F" w:rsidRDefault="00DE0AD1" w:rsidP="002F7A44">
      <w:pPr>
        <w:ind w:firstLine="540"/>
        <w:jc w:val="both"/>
        <w:rPr>
          <w:rFonts w:ascii="Palatino Linotype" w:hAnsi="Palatino Linotype"/>
          <w:lang w:val="az-Latn-AZ"/>
        </w:rPr>
      </w:pPr>
      <w:r w:rsidRPr="00D3050F">
        <w:rPr>
          <w:rFonts w:ascii="Palatino Linotype" w:hAnsi="Palatino Linotype"/>
          <w:lang w:val="az-Latn-AZ"/>
        </w:rPr>
        <w:t>Yumşaq buğdanın sünbülü boş, qılçıqlı, dənin rəngi qırmızı, qəhvəyi və sarı yаrımşüşəvаri, şüşəvаri və unlu olur. Həm payızlıq və həm də yazlıq yumşaq buğda becərilir. Yumşaq buğdаdаn аlınаn un əsasən çörək istеhsаlındа istifadə olunur (Buğda növlərini fərqləndirən əsas əlamətlər daha ətraflı cədvəl 1-də göstərilmişdir).</w:t>
      </w:r>
    </w:p>
    <w:p w14:paraId="49A18D8B" w14:textId="77777777" w:rsidR="00DE0AD1" w:rsidRPr="00D3050F" w:rsidRDefault="00DE0AD1" w:rsidP="00D65165">
      <w:pPr>
        <w:jc w:val="both"/>
        <w:rPr>
          <w:rFonts w:ascii="Palatino Linotype" w:hAnsi="Palatino Linotype"/>
          <w:lang w:val="az-Latn-AZ"/>
        </w:rPr>
      </w:pPr>
    </w:p>
    <w:p w14:paraId="55BFF918" w14:textId="77777777" w:rsidR="00DE0AD1" w:rsidRPr="00D3050F" w:rsidRDefault="00DE0AD1" w:rsidP="00DE0AD1">
      <w:pPr>
        <w:jc w:val="center"/>
        <w:rPr>
          <w:rFonts w:ascii="Palatino Linotype" w:hAnsi="Palatino Linotype"/>
          <w:lang w:val="az-Latn-AZ"/>
        </w:rPr>
      </w:pPr>
      <w:r w:rsidRPr="00D3050F">
        <w:rPr>
          <w:rFonts w:ascii="Palatino Linotype" w:hAnsi="Palatino Linotype"/>
          <w:lang w:val="az-Latn-AZ"/>
        </w:rPr>
        <w:t>Yumşaq və bərk buğda növlərini fərqləndirən əsas əlamətlər</w:t>
      </w:r>
    </w:p>
    <w:p w14:paraId="40C3E144" w14:textId="77777777" w:rsidR="00DE0AD1" w:rsidRPr="00D3050F" w:rsidRDefault="00DE0AD1" w:rsidP="00DE0AD1">
      <w:pPr>
        <w:jc w:val="center"/>
        <w:rPr>
          <w:rFonts w:ascii="Palatino Linotype" w:hAnsi="Palatino Linotype"/>
          <w:b/>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2941"/>
        <w:gridCol w:w="2703"/>
      </w:tblGrid>
      <w:tr w:rsidR="00DE0AD1" w:rsidRPr="00D3050F" w14:paraId="47083873" w14:textId="77777777" w:rsidTr="002F7A44">
        <w:trPr>
          <w:trHeight w:val="553"/>
          <w:jc w:val="center"/>
        </w:trPr>
        <w:tc>
          <w:tcPr>
            <w:tcW w:w="2516" w:type="dxa"/>
            <w:tcBorders>
              <w:top w:val="nil"/>
              <w:left w:val="nil"/>
              <w:bottom w:val="single" w:sz="4" w:space="0" w:color="auto"/>
              <w:right w:val="nil"/>
            </w:tcBorders>
            <w:shd w:val="clear" w:color="auto" w:fill="auto"/>
            <w:vAlign w:val="center"/>
          </w:tcPr>
          <w:p w14:paraId="35A5B57C" w14:textId="77777777" w:rsidR="00DE0AD1" w:rsidRPr="00D3050F" w:rsidRDefault="00DE0AD1" w:rsidP="00DE0AD1">
            <w:pPr>
              <w:jc w:val="center"/>
              <w:rPr>
                <w:rFonts w:ascii="Palatino Linotype" w:hAnsi="Palatino Linotype"/>
                <w:b/>
                <w:lang w:val="az-Latn-AZ"/>
              </w:rPr>
            </w:pPr>
          </w:p>
        </w:tc>
        <w:tc>
          <w:tcPr>
            <w:tcW w:w="2941" w:type="dxa"/>
            <w:tcBorders>
              <w:top w:val="nil"/>
              <w:left w:val="nil"/>
              <w:bottom w:val="single" w:sz="4" w:space="0" w:color="auto"/>
              <w:right w:val="nil"/>
            </w:tcBorders>
            <w:shd w:val="clear" w:color="auto" w:fill="auto"/>
            <w:vAlign w:val="center"/>
          </w:tcPr>
          <w:p w14:paraId="31303056" w14:textId="77777777" w:rsidR="00DE0AD1" w:rsidRPr="00D3050F" w:rsidRDefault="00DE0AD1" w:rsidP="00DE0AD1">
            <w:pPr>
              <w:jc w:val="center"/>
              <w:rPr>
                <w:rFonts w:ascii="Palatino Linotype" w:hAnsi="Palatino Linotype"/>
                <w:b/>
                <w:lang w:val="az-Latn-AZ"/>
              </w:rPr>
            </w:pPr>
          </w:p>
        </w:tc>
        <w:tc>
          <w:tcPr>
            <w:tcW w:w="2703" w:type="dxa"/>
            <w:tcBorders>
              <w:top w:val="nil"/>
              <w:left w:val="nil"/>
              <w:bottom w:val="single" w:sz="4" w:space="0" w:color="auto"/>
              <w:right w:val="nil"/>
            </w:tcBorders>
            <w:shd w:val="clear" w:color="auto" w:fill="auto"/>
            <w:vAlign w:val="center"/>
          </w:tcPr>
          <w:p w14:paraId="20BB285D" w14:textId="77777777" w:rsidR="00DE0AD1" w:rsidRPr="00D3050F" w:rsidRDefault="00DE0AD1" w:rsidP="00DE0AD1">
            <w:pPr>
              <w:jc w:val="right"/>
              <w:rPr>
                <w:rFonts w:ascii="Palatino Linotype" w:hAnsi="Palatino Linotype"/>
                <w:b/>
                <w:lang w:val="az-Latn-AZ"/>
              </w:rPr>
            </w:pPr>
            <w:r w:rsidRPr="00D3050F">
              <w:rPr>
                <w:rFonts w:ascii="Palatino Linotype" w:hAnsi="Palatino Linotype"/>
                <w:b/>
                <w:lang w:val="az-Latn-AZ"/>
              </w:rPr>
              <w:t>Cədvəl 1</w:t>
            </w:r>
          </w:p>
        </w:tc>
      </w:tr>
      <w:tr w:rsidR="00DE0AD1" w:rsidRPr="00D3050F" w14:paraId="47DBA657" w14:textId="77777777" w:rsidTr="002F7A44">
        <w:trPr>
          <w:trHeight w:val="412"/>
          <w:jc w:val="center"/>
        </w:trPr>
        <w:tc>
          <w:tcPr>
            <w:tcW w:w="2516" w:type="dxa"/>
            <w:tcBorders>
              <w:top w:val="single" w:sz="4" w:space="0" w:color="auto"/>
            </w:tcBorders>
            <w:shd w:val="clear" w:color="auto" w:fill="auto"/>
            <w:vAlign w:val="center"/>
          </w:tcPr>
          <w:p w14:paraId="216A6441" w14:textId="77777777" w:rsidR="00DE0AD1" w:rsidRPr="00D3050F" w:rsidRDefault="00DE0AD1" w:rsidP="00DE0AD1">
            <w:pPr>
              <w:jc w:val="center"/>
              <w:rPr>
                <w:rFonts w:ascii="Palatino Linotype" w:hAnsi="Palatino Linotype"/>
                <w:b/>
                <w:lang w:val="az-Latn-AZ"/>
              </w:rPr>
            </w:pPr>
            <w:r w:rsidRPr="00D3050F">
              <w:rPr>
                <w:rFonts w:ascii="Palatino Linotype" w:hAnsi="Palatino Linotype"/>
                <w:b/>
                <w:lang w:val="az-Latn-AZ"/>
              </w:rPr>
              <w:t>Əlamətləri</w:t>
            </w:r>
          </w:p>
        </w:tc>
        <w:tc>
          <w:tcPr>
            <w:tcW w:w="2941" w:type="dxa"/>
            <w:tcBorders>
              <w:top w:val="single" w:sz="4" w:space="0" w:color="auto"/>
            </w:tcBorders>
            <w:shd w:val="clear" w:color="auto" w:fill="auto"/>
            <w:vAlign w:val="center"/>
          </w:tcPr>
          <w:p w14:paraId="0994C83D" w14:textId="77777777" w:rsidR="00DE0AD1" w:rsidRPr="00D3050F" w:rsidRDefault="00DE0AD1" w:rsidP="00DE0AD1">
            <w:pPr>
              <w:jc w:val="center"/>
              <w:rPr>
                <w:rFonts w:ascii="Palatino Linotype" w:hAnsi="Palatino Linotype"/>
                <w:b/>
                <w:lang w:val="az-Latn-AZ"/>
              </w:rPr>
            </w:pPr>
            <w:r w:rsidRPr="00D3050F">
              <w:rPr>
                <w:rFonts w:ascii="Palatino Linotype" w:hAnsi="Palatino Linotype"/>
                <w:b/>
                <w:lang w:val="az-Latn-AZ"/>
              </w:rPr>
              <w:t>Bərk buğdanın əlamətləri</w:t>
            </w:r>
          </w:p>
        </w:tc>
        <w:tc>
          <w:tcPr>
            <w:tcW w:w="2703" w:type="dxa"/>
            <w:tcBorders>
              <w:top w:val="single" w:sz="4" w:space="0" w:color="auto"/>
            </w:tcBorders>
            <w:shd w:val="clear" w:color="auto" w:fill="auto"/>
            <w:vAlign w:val="center"/>
          </w:tcPr>
          <w:p w14:paraId="2BD28F99" w14:textId="77777777" w:rsidR="00DE0AD1" w:rsidRPr="00D3050F" w:rsidRDefault="00DE0AD1" w:rsidP="00DE0AD1">
            <w:pPr>
              <w:jc w:val="center"/>
              <w:rPr>
                <w:rFonts w:ascii="Palatino Linotype" w:hAnsi="Palatino Linotype"/>
                <w:b/>
                <w:lang w:val="az-Latn-AZ"/>
              </w:rPr>
            </w:pPr>
            <w:r w:rsidRPr="00D3050F">
              <w:rPr>
                <w:rFonts w:ascii="Palatino Linotype" w:hAnsi="Palatino Linotype"/>
                <w:b/>
                <w:lang w:val="az-Latn-AZ"/>
              </w:rPr>
              <w:t>Yumşaq buğdanın əlamətləri</w:t>
            </w:r>
          </w:p>
        </w:tc>
      </w:tr>
      <w:tr w:rsidR="00DE0AD1" w:rsidRPr="00D3050F" w14:paraId="65D77DFA" w14:textId="77777777" w:rsidTr="002F7A44">
        <w:trPr>
          <w:trHeight w:val="199"/>
          <w:jc w:val="center"/>
        </w:trPr>
        <w:tc>
          <w:tcPr>
            <w:tcW w:w="2516" w:type="dxa"/>
            <w:shd w:val="clear" w:color="auto" w:fill="auto"/>
          </w:tcPr>
          <w:p w14:paraId="50893591"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Xromosomların sayı</w:t>
            </w:r>
          </w:p>
        </w:tc>
        <w:tc>
          <w:tcPr>
            <w:tcW w:w="2941" w:type="dxa"/>
            <w:shd w:val="clear" w:color="auto" w:fill="auto"/>
          </w:tcPr>
          <w:p w14:paraId="3AD8CCF9"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42 xromosom</w:t>
            </w:r>
          </w:p>
        </w:tc>
        <w:tc>
          <w:tcPr>
            <w:tcW w:w="2703" w:type="dxa"/>
            <w:shd w:val="clear" w:color="auto" w:fill="auto"/>
          </w:tcPr>
          <w:p w14:paraId="2A3C495F"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28 xromosom</w:t>
            </w:r>
          </w:p>
        </w:tc>
      </w:tr>
      <w:tr w:rsidR="00DE0AD1" w:rsidRPr="00F65E03" w14:paraId="66D19087" w14:textId="77777777" w:rsidTr="002F7A44">
        <w:trPr>
          <w:trHeight w:val="585"/>
          <w:jc w:val="center"/>
        </w:trPr>
        <w:tc>
          <w:tcPr>
            <w:tcW w:w="2516" w:type="dxa"/>
            <w:shd w:val="clear" w:color="auto" w:fill="auto"/>
          </w:tcPr>
          <w:p w14:paraId="1708D011"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Sünbülün forması</w:t>
            </w:r>
          </w:p>
        </w:tc>
        <w:tc>
          <w:tcPr>
            <w:tcW w:w="2941" w:type="dxa"/>
            <w:shd w:val="clear" w:color="auto" w:fill="auto"/>
          </w:tcPr>
          <w:p w14:paraId="4822D366"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İki cərgəli, yan tərəfi üz tərəfindən enlidir</w:t>
            </w:r>
          </w:p>
        </w:tc>
        <w:tc>
          <w:tcPr>
            <w:tcW w:w="2703" w:type="dxa"/>
            <w:shd w:val="clear" w:color="auto" w:fill="auto"/>
          </w:tcPr>
          <w:p w14:paraId="7B14C4DF"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Üz tərəfi adətən yan</w:t>
            </w:r>
            <w:r w:rsidR="002F7A44" w:rsidRPr="00D3050F">
              <w:rPr>
                <w:rFonts w:ascii="Palatino Linotype" w:hAnsi="Palatino Linotype"/>
                <w:lang w:val="az-Latn-AZ"/>
              </w:rPr>
              <w:t xml:space="preserve"> </w:t>
            </w:r>
            <w:r w:rsidRPr="00D3050F">
              <w:rPr>
                <w:rFonts w:ascii="Palatino Linotype" w:hAnsi="Palatino Linotype"/>
                <w:lang w:val="az-Latn-AZ"/>
              </w:rPr>
              <w:t>tərəfindən enlidir</w:t>
            </w:r>
          </w:p>
        </w:tc>
      </w:tr>
      <w:tr w:rsidR="00DE0AD1" w:rsidRPr="00D3050F" w14:paraId="030DD77C" w14:textId="77777777" w:rsidTr="002F7A44">
        <w:trPr>
          <w:trHeight w:val="343"/>
          <w:jc w:val="center"/>
        </w:trPr>
        <w:tc>
          <w:tcPr>
            <w:tcW w:w="2516" w:type="dxa"/>
            <w:shd w:val="clear" w:color="auto" w:fill="auto"/>
          </w:tcPr>
          <w:p w14:paraId="10A26C14"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Sünbülün qılçıqlılığı</w:t>
            </w:r>
          </w:p>
        </w:tc>
        <w:tc>
          <w:tcPr>
            <w:tcW w:w="2941" w:type="dxa"/>
            <w:shd w:val="clear" w:color="auto" w:fill="auto"/>
          </w:tcPr>
          <w:p w14:paraId="4218F75C"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Qılçıqlı, nadir hallarda qılçıqsız</w:t>
            </w:r>
          </w:p>
        </w:tc>
        <w:tc>
          <w:tcPr>
            <w:tcW w:w="2703" w:type="dxa"/>
            <w:shd w:val="clear" w:color="auto" w:fill="auto"/>
          </w:tcPr>
          <w:p w14:paraId="52D651D2"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Qılçıqlı və ya qılçıqsız</w:t>
            </w:r>
          </w:p>
        </w:tc>
      </w:tr>
      <w:tr w:rsidR="00DE0AD1" w:rsidRPr="00F65E03" w14:paraId="20B782DD" w14:textId="77777777" w:rsidTr="002F7A44">
        <w:trPr>
          <w:trHeight w:val="903"/>
          <w:jc w:val="center"/>
        </w:trPr>
        <w:tc>
          <w:tcPr>
            <w:tcW w:w="2516" w:type="dxa"/>
            <w:shd w:val="clear" w:color="auto" w:fill="auto"/>
          </w:tcPr>
          <w:p w14:paraId="45105CA1"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lastRenderedPageBreak/>
              <w:t>Qılçıqların xarakteri</w:t>
            </w:r>
          </w:p>
        </w:tc>
        <w:tc>
          <w:tcPr>
            <w:tcW w:w="2941" w:type="dxa"/>
            <w:shd w:val="clear" w:color="auto" w:fill="auto"/>
          </w:tcPr>
          <w:p w14:paraId="1FBE6941"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Qılçıqları sünbüldən uzun və ya sünbülə bərabər, sünbülə paralel və ya azca dağınıq</w:t>
            </w:r>
          </w:p>
        </w:tc>
        <w:tc>
          <w:tcPr>
            <w:tcW w:w="2703" w:type="dxa"/>
            <w:shd w:val="clear" w:color="auto" w:fill="auto"/>
          </w:tcPr>
          <w:p w14:paraId="66D8A825"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Qılçıqlı formalarda qılçıqlar sünbülə bərabər və ya ondan</w:t>
            </w:r>
            <w:r w:rsidR="002F7A44" w:rsidRPr="00D3050F">
              <w:rPr>
                <w:rFonts w:ascii="Palatino Linotype" w:hAnsi="Palatino Linotype"/>
                <w:lang w:val="az-Latn-AZ"/>
              </w:rPr>
              <w:t xml:space="preserve"> </w:t>
            </w:r>
            <w:r w:rsidRPr="00D3050F">
              <w:rPr>
                <w:rFonts w:ascii="Palatino Linotype" w:hAnsi="Palatino Linotype"/>
                <w:lang w:val="az-Latn-AZ"/>
              </w:rPr>
              <w:t>qısa, dağınıq</w:t>
            </w:r>
          </w:p>
        </w:tc>
      </w:tr>
      <w:tr w:rsidR="00DE0AD1" w:rsidRPr="00F65E03" w14:paraId="24FEC8C0" w14:textId="77777777" w:rsidTr="002F7A44">
        <w:trPr>
          <w:trHeight w:val="1070"/>
          <w:jc w:val="center"/>
        </w:trPr>
        <w:tc>
          <w:tcPr>
            <w:tcW w:w="2516" w:type="dxa"/>
            <w:shd w:val="clear" w:color="auto" w:fill="auto"/>
          </w:tcPr>
          <w:p w14:paraId="3B240F95"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Dənin forması və şüşəvarılılığı</w:t>
            </w:r>
          </w:p>
        </w:tc>
        <w:tc>
          <w:tcPr>
            <w:tcW w:w="2941" w:type="dxa"/>
            <w:shd w:val="clear" w:color="auto" w:fill="auto"/>
          </w:tcPr>
          <w:p w14:paraId="7176A2EA"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Uzunsov və ya girdə, şüşəvarı, bərk, dənin təpəsində tükcüklər olmur və ya çox xırda olur</w:t>
            </w:r>
          </w:p>
        </w:tc>
        <w:tc>
          <w:tcPr>
            <w:tcW w:w="2703" w:type="dxa"/>
            <w:shd w:val="clear" w:color="auto" w:fill="auto"/>
          </w:tcPr>
          <w:p w14:paraId="6F54D867"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 xml:space="preserve">Müxtəlif formalarda, unlu, şüşəvarı və qismən şüşəvarı, dənin təpəsində sıx halda tükcüklər olur </w:t>
            </w:r>
          </w:p>
        </w:tc>
      </w:tr>
      <w:tr w:rsidR="00DE0AD1" w:rsidRPr="00D3050F" w14:paraId="677214AE" w14:textId="77777777" w:rsidTr="002F7A44">
        <w:trPr>
          <w:trHeight w:val="131"/>
          <w:jc w:val="center"/>
        </w:trPr>
        <w:tc>
          <w:tcPr>
            <w:tcW w:w="2516" w:type="dxa"/>
            <w:shd w:val="clear" w:color="auto" w:fill="auto"/>
          </w:tcPr>
          <w:p w14:paraId="5D6845CA"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Küləşin doluluğu</w:t>
            </w:r>
          </w:p>
        </w:tc>
        <w:tc>
          <w:tcPr>
            <w:tcW w:w="2941" w:type="dxa"/>
            <w:shd w:val="clear" w:color="auto" w:fill="auto"/>
          </w:tcPr>
          <w:p w14:paraId="044A40A3"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İçi dolu</w:t>
            </w:r>
          </w:p>
        </w:tc>
        <w:tc>
          <w:tcPr>
            <w:tcW w:w="2703" w:type="dxa"/>
            <w:shd w:val="clear" w:color="auto" w:fill="auto"/>
          </w:tcPr>
          <w:p w14:paraId="2F9E500F"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İçi boş</w:t>
            </w:r>
          </w:p>
        </w:tc>
      </w:tr>
      <w:tr w:rsidR="00DE0AD1" w:rsidRPr="00F65E03" w14:paraId="229D6FA4" w14:textId="77777777" w:rsidTr="002F7A44">
        <w:trPr>
          <w:trHeight w:val="197"/>
          <w:jc w:val="center"/>
        </w:trPr>
        <w:tc>
          <w:tcPr>
            <w:tcW w:w="2516" w:type="dxa"/>
            <w:shd w:val="clear" w:color="auto" w:fill="auto"/>
          </w:tcPr>
          <w:p w14:paraId="1E90511F"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Cücərtilər</w:t>
            </w:r>
          </w:p>
        </w:tc>
        <w:tc>
          <w:tcPr>
            <w:tcW w:w="2941" w:type="dxa"/>
            <w:shd w:val="clear" w:color="auto" w:fill="auto"/>
          </w:tcPr>
          <w:p w14:paraId="2184DA0C"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Tüksüz</w:t>
            </w:r>
          </w:p>
        </w:tc>
        <w:tc>
          <w:tcPr>
            <w:tcW w:w="2703" w:type="dxa"/>
            <w:shd w:val="clear" w:color="auto" w:fill="auto"/>
          </w:tcPr>
          <w:p w14:paraId="00ADB24A"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Güclü və ya zəif tüklü</w:t>
            </w:r>
          </w:p>
        </w:tc>
      </w:tr>
      <w:tr w:rsidR="00DE0AD1" w:rsidRPr="00D3050F" w14:paraId="13D4CFD1" w14:textId="77777777" w:rsidTr="002F7A44">
        <w:trPr>
          <w:trHeight w:val="97"/>
          <w:jc w:val="center"/>
        </w:trPr>
        <w:tc>
          <w:tcPr>
            <w:tcW w:w="2516" w:type="dxa"/>
            <w:shd w:val="clear" w:color="auto" w:fill="auto"/>
          </w:tcPr>
          <w:p w14:paraId="0CD0A73F" w14:textId="77777777" w:rsidR="00DE0AD1" w:rsidRPr="00D3050F" w:rsidRDefault="00DE0AD1" w:rsidP="00C47F57">
            <w:pPr>
              <w:rPr>
                <w:rFonts w:ascii="Palatino Linotype" w:hAnsi="Palatino Linotype"/>
                <w:b/>
                <w:lang w:val="az-Latn-AZ"/>
              </w:rPr>
            </w:pPr>
            <w:r w:rsidRPr="00D3050F">
              <w:rPr>
                <w:rFonts w:ascii="Palatino Linotype" w:hAnsi="Palatino Linotype"/>
                <w:b/>
                <w:lang w:val="az-Latn-AZ"/>
              </w:rPr>
              <w:t>Döyüm</w:t>
            </w:r>
          </w:p>
        </w:tc>
        <w:tc>
          <w:tcPr>
            <w:tcW w:w="2941" w:type="dxa"/>
            <w:shd w:val="clear" w:color="auto" w:fill="auto"/>
          </w:tcPr>
          <w:p w14:paraId="3BACD180"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Nisbətən çətin</w:t>
            </w:r>
          </w:p>
        </w:tc>
        <w:tc>
          <w:tcPr>
            <w:tcW w:w="2703" w:type="dxa"/>
            <w:shd w:val="clear" w:color="auto" w:fill="auto"/>
          </w:tcPr>
          <w:p w14:paraId="6FEDE0C5" w14:textId="77777777" w:rsidR="00DE0AD1" w:rsidRPr="00D3050F" w:rsidRDefault="00DE0AD1" w:rsidP="00C47F57">
            <w:pPr>
              <w:rPr>
                <w:rFonts w:ascii="Palatino Linotype" w:hAnsi="Palatino Linotype"/>
                <w:lang w:val="az-Latn-AZ"/>
              </w:rPr>
            </w:pPr>
            <w:r w:rsidRPr="00D3050F">
              <w:rPr>
                <w:rFonts w:ascii="Palatino Linotype" w:hAnsi="Palatino Linotype"/>
                <w:lang w:val="az-Latn-AZ"/>
              </w:rPr>
              <w:t>Asan</w:t>
            </w:r>
          </w:p>
        </w:tc>
      </w:tr>
    </w:tbl>
    <w:p w14:paraId="66354E47" w14:textId="77777777" w:rsidR="00DE0AD1" w:rsidRPr="00D3050F" w:rsidRDefault="00DE0AD1" w:rsidP="00D65165">
      <w:pPr>
        <w:jc w:val="both"/>
        <w:rPr>
          <w:rFonts w:ascii="Palatino Linotype" w:hAnsi="Palatino Linotype"/>
          <w:lang w:val="az-Latn-AZ"/>
        </w:rPr>
      </w:pPr>
    </w:p>
    <w:p w14:paraId="2608F354"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Hal-hazırda ölkəmizdə 30-dan çox buğda sortu rayonlaşdırılmışdır. Azərbaycanda dövlət reyestrinə daxil edilmiş və respublikada becərilən buğda sortları aşağıdakılardır:</w:t>
      </w:r>
    </w:p>
    <w:p w14:paraId="406BA8D2"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1. Payızlıq bərk sortlar: Mirbəşir 50, Qaraqılçıq 2, Tərtər, Vüqar, Şir-aslan 23, Turan, Bərəkətli 95, Əlincə 84, Qarabağ.</w:t>
      </w:r>
    </w:p>
    <w:p w14:paraId="7D3848D1"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2. Payızlıq</w:t>
      </w:r>
      <w:r w:rsidR="002F7A44" w:rsidRPr="00D3050F">
        <w:rPr>
          <w:rFonts w:ascii="Palatino Linotype" w:hAnsi="Palatino Linotype"/>
          <w:lang w:val="az-Latn-AZ"/>
        </w:rPr>
        <w:t xml:space="preserve"> </w:t>
      </w:r>
      <w:r w:rsidRPr="00D3050F">
        <w:rPr>
          <w:rFonts w:ascii="Palatino Linotype" w:hAnsi="Palatino Linotype"/>
          <w:lang w:val="az-Latn-AZ"/>
        </w:rPr>
        <w:t>yumşaq</w:t>
      </w:r>
      <w:r w:rsidR="002F7A44" w:rsidRPr="00D3050F">
        <w:rPr>
          <w:rFonts w:ascii="Palatino Linotype" w:hAnsi="Palatino Linotype"/>
          <w:lang w:val="az-Latn-AZ"/>
        </w:rPr>
        <w:t xml:space="preserve"> </w:t>
      </w:r>
      <w:r w:rsidRPr="00D3050F">
        <w:rPr>
          <w:rFonts w:ascii="Palatino Linotype" w:hAnsi="Palatino Linotype"/>
          <w:lang w:val="az-Latn-AZ"/>
        </w:rPr>
        <w:t>sortlar: Bezostaya 1, Birlik, Pərvizan 1, Mirbəşir 128, Tərəqqi, Azəri, Əkinçi 84, Qiymətli 2/17, Əzəmətli 95, Nurlu 99, Qobustan,</w:t>
      </w:r>
      <w:r w:rsidR="002F7A44" w:rsidRPr="00D3050F">
        <w:rPr>
          <w:rFonts w:ascii="Palatino Linotype" w:hAnsi="Palatino Linotype"/>
          <w:lang w:val="az-Latn-AZ"/>
        </w:rPr>
        <w:t xml:space="preserve"> </w:t>
      </w:r>
      <w:r w:rsidRPr="00D3050F">
        <w:rPr>
          <w:rFonts w:ascii="Palatino Linotype" w:hAnsi="Palatino Linotype"/>
          <w:lang w:val="az-Latn-AZ"/>
        </w:rPr>
        <w:t>Şəki 1, Ruzi 84, Uğur, Aran, Pamyat, Moskviçka, Tanya, Nota,</w:t>
      </w:r>
      <w:r w:rsidR="002F7A44" w:rsidRPr="00D3050F">
        <w:rPr>
          <w:rFonts w:ascii="Palatino Linotype" w:hAnsi="Palatino Linotype"/>
          <w:lang w:val="az-Latn-AZ"/>
        </w:rPr>
        <w:t xml:space="preserve"> </w:t>
      </w:r>
      <w:r w:rsidRPr="00D3050F">
        <w:rPr>
          <w:rFonts w:ascii="Palatino Linotype" w:hAnsi="Palatino Linotype"/>
          <w:lang w:val="az-Latn-AZ"/>
        </w:rPr>
        <w:t>Batko, Krasnodar 99.</w:t>
      </w:r>
    </w:p>
    <w:p w14:paraId="734E7388"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3. Qüvvəli yumşaq sortlar: Bezostaya 1, Azəri, Aran, Pamyat, Nota, Tanya, Moskviçka, Batko.</w:t>
      </w:r>
    </w:p>
    <w:p w14:paraId="23B3211E"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Hesabat formasının </w:t>
      </w:r>
      <w:r w:rsidRPr="00D3050F">
        <w:rPr>
          <w:rFonts w:ascii="Palatino Linotype" w:hAnsi="Palatino Linotype"/>
          <w:b/>
          <w:lang w:val="az-Latn-AZ"/>
        </w:rPr>
        <w:t>16.1, 16.2 və 16.2.1</w:t>
      </w:r>
      <w:r w:rsidR="002F7A44" w:rsidRPr="00D3050F">
        <w:rPr>
          <w:rFonts w:ascii="Palatino Linotype" w:hAnsi="Palatino Linotype"/>
          <w:lang w:val="az-Latn-AZ"/>
        </w:rPr>
        <w:t xml:space="preserve"> </w:t>
      </w:r>
      <w:r w:rsidRPr="00D3050F">
        <w:rPr>
          <w:rFonts w:ascii="Palatino Linotype" w:hAnsi="Palatino Linotype"/>
          <w:lang w:val="az-Latn-AZ"/>
        </w:rPr>
        <w:t>sətirlərində dən üçün payızlıq və yazlıq buğdanın əkin sahələrinin</w:t>
      </w:r>
      <w:r w:rsidR="002F7A44" w:rsidRPr="00D3050F">
        <w:rPr>
          <w:rFonts w:ascii="Palatino Linotype" w:hAnsi="Palatino Linotype"/>
          <w:lang w:val="az-Latn-AZ"/>
        </w:rPr>
        <w:t xml:space="preserve"> </w:t>
      </w:r>
      <w:r w:rsidRPr="00D3050F">
        <w:rPr>
          <w:rFonts w:ascii="Palatino Linotype" w:hAnsi="Palatino Linotype"/>
          <w:lang w:val="az-Latn-AZ"/>
        </w:rPr>
        <w:t>ümumi</w:t>
      </w:r>
      <w:r w:rsidR="002F7A44" w:rsidRPr="00D3050F">
        <w:rPr>
          <w:rFonts w:ascii="Palatino Linotype" w:hAnsi="Palatino Linotype"/>
          <w:lang w:val="az-Latn-AZ"/>
        </w:rPr>
        <w:t xml:space="preserve"> </w:t>
      </w:r>
      <w:r w:rsidRPr="00D3050F">
        <w:rPr>
          <w:rFonts w:ascii="Palatino Linotype" w:hAnsi="Palatino Linotype"/>
          <w:lang w:val="az-Latn-AZ"/>
        </w:rPr>
        <w:t xml:space="preserve">miqdarından müvafiq olaraq bərk buğda, yumşaq buğda və ondan qüvvəli yumşaq buğda sortlarının əkin sahələri hektarla göstərilir. Bu zaman bərk və yumşaq buğda əkinlərinin ümumi sahəsi payızlıq və yazlıq buğda əkinlərinin cəminə bərabər olmalıdır. Yəni: </w:t>
      </w:r>
      <w:r w:rsidRPr="00D3050F">
        <w:rPr>
          <w:rFonts w:ascii="Palatino Linotype" w:hAnsi="Palatino Linotype"/>
          <w:b/>
          <w:lang w:val="az-Latn-AZ"/>
        </w:rPr>
        <w:t>sətir (16.1+16.2)=sətir (08+14.1).</w:t>
      </w:r>
    </w:p>
    <w:p w14:paraId="2A0A475A" w14:textId="77777777" w:rsidR="00DE0AD1" w:rsidRPr="00D3050F" w:rsidRDefault="00DE0AD1" w:rsidP="00D65165">
      <w:pPr>
        <w:jc w:val="both"/>
        <w:rPr>
          <w:rFonts w:ascii="Palatino Linotype" w:hAnsi="Palatino Linotype"/>
          <w:lang w:val="az-Latn-AZ"/>
        </w:rPr>
      </w:pPr>
    </w:p>
    <w:p w14:paraId="67601E29" w14:textId="77777777" w:rsidR="00DE0AD1" w:rsidRPr="00D3050F" w:rsidRDefault="00DE0AD1" w:rsidP="00DE0AD1">
      <w:pPr>
        <w:jc w:val="center"/>
        <w:rPr>
          <w:rFonts w:ascii="Palatino Linotype" w:hAnsi="Palatino Linotype"/>
          <w:lang w:val="az-Latn-AZ"/>
        </w:rPr>
      </w:pPr>
      <w:r w:rsidRPr="00D3050F">
        <w:rPr>
          <w:rFonts w:ascii="Palatino Linotype" w:hAnsi="Palatino Linotype"/>
          <w:b/>
          <w:lang w:val="az-Latn-AZ"/>
        </w:rPr>
        <w:t>2. Texniki bitkilər üzrə</w:t>
      </w:r>
    </w:p>
    <w:p w14:paraId="6D71FC42" w14:textId="77777777" w:rsidR="00DE0AD1" w:rsidRPr="00D3050F" w:rsidRDefault="00DE0AD1" w:rsidP="00D65165">
      <w:pPr>
        <w:jc w:val="both"/>
        <w:rPr>
          <w:rFonts w:ascii="Palatino Linotype" w:hAnsi="Palatino Linotype"/>
          <w:lang w:val="az-Latn-AZ"/>
        </w:rPr>
      </w:pPr>
    </w:p>
    <w:p w14:paraId="48E7695C"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“Texniki bitkilər” bölməsində günəbaxan üzrə dən üçün cari ildə səpilmiş əkin sahəsi, habelə keçən il qışqabağı dən üçün səpilmiş günəbaxan əkininin salamat qalmış sahəsi uçota alınır. Silos üçün günəbaxanın əkin sahəsi bu bölməyə daxil edilmir.</w:t>
      </w:r>
    </w:p>
    <w:p w14:paraId="70C1D226"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Pambıq üzrə tut ağaclarının cərgələri boyu kölgəli zolaqlarda, habelə bağların cərgələri arasında, tək-tək duran ağaclar altında olan və sair sahələri də daxil etməklə bütün faktiki əkin sahəsi göstərilir.</w:t>
      </w:r>
    </w:p>
    <w:p w14:paraId="56A7F2F1"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Şəkər çuğunduru (emal üçün) üzrə yalnız o çuğundur sahəsi göstərilir ki, onların məhsulu şəkər və başqa zavodlarda emal üçün nəzərdə tutulmuşdur. Mal-qara yemi üçün əkilmiş şəkər çuğunduru sahəsi yem bitkiləri bölməsində göstərilir, anac və yeri dəyişdirilmiş şəkər çuğundurunun əkin sahəsi texniki bitkilər bölməsində müstəqil sətirdə uçota alınır.</w:t>
      </w:r>
    </w:p>
    <w:p w14:paraId="041FDA33"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Efiryağlı bitkilər üzrə ümumi əkin sahəsindən başqa, o cümlədən cari ilin və keçmiş illərin aşağıda göstərilən bitkilərin əkin sahələri ayrı-ayrı göstərilir: koriandr, </w:t>
      </w:r>
      <w:r w:rsidRPr="00D3050F">
        <w:rPr>
          <w:rFonts w:ascii="Palatino Linotype" w:hAnsi="Palatino Linotype"/>
          <w:lang w:val="az-Latn-AZ"/>
        </w:rPr>
        <w:lastRenderedPageBreak/>
        <w:t>nanə, yarpız, ətirşah, sürvə, cirə, razyana, zirə, ajqon, efiryağlı qızılgül, reyhan və lavanda. Yuxarıda sayılmayan efiryağlı bitkilər sair texniki bitkilər qrupunda göstərilir.</w:t>
      </w:r>
    </w:p>
    <w:p w14:paraId="5502976A"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Keçən ilin payızında qışqabağı səpilmiş koriandr, cari ilin yazında səpilənlə birlikdə göstərilir.</w:t>
      </w:r>
    </w:p>
    <w:p w14:paraId="5F77A2E2"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Cəmi dərman bitkiləri: ağkirpik, xanımotu, üskükotu, pişikotu, dərman sürvəsi, ravənd və başqaları, müalicə məqsədi ilə təbabətdə və baytarlıqda istifadə olunanların</w:t>
      </w:r>
      <w:r w:rsidR="002F7A44" w:rsidRPr="00D3050F">
        <w:rPr>
          <w:rFonts w:ascii="Palatino Linotype" w:hAnsi="Palatino Linotype"/>
          <w:lang w:val="az-Latn-AZ"/>
        </w:rPr>
        <w:t xml:space="preserve"> </w:t>
      </w:r>
      <w:r w:rsidRPr="00D3050F">
        <w:rPr>
          <w:rFonts w:ascii="Palatino Linotype" w:hAnsi="Palatino Linotype"/>
          <w:lang w:val="az-Latn-AZ"/>
        </w:rPr>
        <w:t>cari ildəki əkin sahələri ilə birlikdə keçən ilin əkin sahələri ümumi yekunla göstərilməlidir.</w:t>
      </w:r>
    </w:p>
    <w:p w14:paraId="0BB0AF17" w14:textId="77777777" w:rsidR="00DE0AD1" w:rsidRPr="00D3050F" w:rsidRDefault="00DE0AD1" w:rsidP="00D65165">
      <w:pPr>
        <w:jc w:val="both"/>
        <w:rPr>
          <w:rFonts w:ascii="Palatino Linotype" w:hAnsi="Palatino Linotype"/>
          <w:lang w:val="az-Latn-AZ"/>
        </w:rPr>
      </w:pPr>
    </w:p>
    <w:p w14:paraId="1439C9EB" w14:textId="77777777" w:rsidR="00DE0AD1" w:rsidRPr="00D3050F" w:rsidRDefault="00DE0AD1" w:rsidP="00DE0AD1">
      <w:pPr>
        <w:jc w:val="center"/>
        <w:rPr>
          <w:rFonts w:ascii="Palatino Linotype" w:hAnsi="Palatino Linotype"/>
          <w:lang w:val="az-Latn-AZ"/>
        </w:rPr>
      </w:pPr>
      <w:r w:rsidRPr="00D3050F">
        <w:rPr>
          <w:rFonts w:ascii="Palatino Linotype" w:hAnsi="Palatino Linotype"/>
          <w:b/>
          <w:lang w:val="az-Latn-AZ"/>
        </w:rPr>
        <w:t>3. Tərəvəz üzrə</w:t>
      </w:r>
    </w:p>
    <w:p w14:paraId="0803F791" w14:textId="77777777" w:rsidR="00DE0AD1" w:rsidRPr="00D3050F" w:rsidRDefault="00DE0AD1" w:rsidP="00D65165">
      <w:pPr>
        <w:jc w:val="both"/>
        <w:rPr>
          <w:rFonts w:ascii="Palatino Linotype" w:hAnsi="Palatino Linotype"/>
          <w:lang w:val="az-Latn-AZ"/>
        </w:rPr>
      </w:pPr>
    </w:p>
    <w:p w14:paraId="1B3D3C30"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Baş soğan və əkin üçün soğan ayrılıqda göstərilirlər. Amma əkin üçün soğan toxumluqlar tərkibində uçota alınır və o cümlədən ayrıca göstərici ilə ayrılır.</w:t>
      </w:r>
    </w:p>
    <w:p w14:paraId="173AADFE"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Göy soğan əkini sair tərəvəz qrupunda uçota alınır. Toxum üçün soğan və sarımsaq əkini sahəsi </w:t>
      </w:r>
      <w:r w:rsidRPr="00D3050F">
        <w:rPr>
          <w:rFonts w:ascii="Palatino Linotype" w:hAnsi="Palatino Linotype"/>
          <w:b/>
          <w:lang w:val="az-Latn-AZ"/>
        </w:rPr>
        <w:t>18.3-cü</w:t>
      </w:r>
      <w:r w:rsidRPr="00D3050F">
        <w:rPr>
          <w:rFonts w:ascii="Palatino Linotype" w:hAnsi="Palatino Linotype"/>
          <w:lang w:val="az-Latn-AZ"/>
        </w:rPr>
        <w:t xml:space="preserve"> “tərəvəz bitkilərinin birillik, köçürülmüş ikiillik və anac toxumluqları - cəmi” sətrə daxil edilir.</w:t>
      </w:r>
    </w:p>
    <w:p w14:paraId="4131B7B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Müxtəlif göy tərəvəz (kahı, şüyüd, ispanaq, turşəng və sair), formada ayrıca sətirdə nəzərdə tutulmamış bütün sair tərəvəz, məsələn bibər, badımcan, xörək kökümeyvəliləri (cəfəri, kərəvəz, cır havuc, turp, şalğam, qırmızı turp,) </w:t>
      </w:r>
      <w:r w:rsidRPr="00D3050F">
        <w:rPr>
          <w:rFonts w:ascii="Palatino Linotype" w:hAnsi="Palatino Linotype"/>
          <w:b/>
          <w:lang w:val="az-Latn-AZ"/>
        </w:rPr>
        <w:t>18.2.10-cu</w:t>
      </w:r>
      <w:r w:rsidRPr="00D3050F">
        <w:rPr>
          <w:rFonts w:ascii="Palatino Linotype" w:hAnsi="Palatino Linotype"/>
          <w:lang w:val="az-Latn-AZ"/>
        </w:rPr>
        <w:t xml:space="preserve"> “sair tərəvəz” sətrində nəzərə alınır. Sair tərəvəz qrupuna qabaq, badımcan, şirin və acı bibər, turp ayrıca göstərici kimi daxil edilir. Bu qrupa</w:t>
      </w:r>
      <w:r w:rsidR="002F7A44" w:rsidRPr="00D3050F">
        <w:rPr>
          <w:rFonts w:ascii="Palatino Linotype" w:hAnsi="Palatino Linotype"/>
          <w:lang w:val="az-Latn-AZ"/>
        </w:rPr>
        <w:t xml:space="preserve"> </w:t>
      </w:r>
      <w:r w:rsidRPr="00D3050F">
        <w:rPr>
          <w:rFonts w:ascii="Palatino Linotype" w:hAnsi="Palatino Linotype"/>
          <w:lang w:val="az-Latn-AZ"/>
        </w:rPr>
        <w:t>tam yetişməsi başa çatdırılmayan paxlalılar da daxildir. Məsələn noxud, lobya və yetişməmiş paxla da daxil edilir.</w:t>
      </w:r>
    </w:p>
    <w:p w14:paraId="2B6214DE"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Tərəvəz sortlu lobya və paxlanın dən üçün əkin sahələri müvafiq olaraq dənlilər və dənli paxlalılar</w:t>
      </w:r>
      <w:r w:rsidR="002F7A44" w:rsidRPr="00D3050F">
        <w:rPr>
          <w:rFonts w:ascii="Palatino Linotype" w:hAnsi="Palatino Linotype"/>
          <w:lang w:val="az-Latn-AZ"/>
        </w:rPr>
        <w:t xml:space="preserve"> </w:t>
      </w:r>
      <w:r w:rsidRPr="00D3050F">
        <w:rPr>
          <w:rFonts w:ascii="Palatino Linotype" w:hAnsi="Palatino Linotype"/>
          <w:lang w:val="az-Latn-AZ"/>
        </w:rPr>
        <w:t>bölməsində uçota alınır.</w:t>
      </w:r>
    </w:p>
    <w:p w14:paraId="6CC74843" w14:textId="49B7069A"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Məhsulu cins tərəvəz toxumu təşkilatına satılması nəzərdə tutulmuş, yaxud müqavilə əsasında toxumluq məqsədi ilə təsərrüfatlarda saxlanılan dən üçün tərəvəz növlü noxudun (göy noxudun) əkin sahələri </w:t>
      </w:r>
      <w:r w:rsidRPr="00D3050F">
        <w:rPr>
          <w:rFonts w:ascii="Palatino Linotype" w:hAnsi="Palatino Linotype"/>
          <w:b/>
          <w:lang w:val="az-Latn-AZ"/>
        </w:rPr>
        <w:t>18.3-cü</w:t>
      </w:r>
      <w:r w:rsidRPr="00D3050F">
        <w:rPr>
          <w:rFonts w:ascii="Palatino Linotype" w:hAnsi="Palatino Linotype"/>
          <w:lang w:val="az-Latn-AZ"/>
        </w:rPr>
        <w:t xml:space="preserve"> “tərəvəz bitkilərinin birillik, köçürülmüş ikiillik və anac toxumluqları - cəmi” adlı sətir üzrə uçota alınır. Qıçaları sütül və sütül-mum yetişmə dərəcəsində konservləşdirmək və tərəvəz halında </w:t>
      </w:r>
      <w:r w:rsidR="00D3050F" w:rsidRPr="00241CD1">
        <w:rPr>
          <w:rFonts w:ascii="Palatino Linotype" w:hAnsi="Palatino Linotype"/>
          <w:i/>
          <w:lang w:val="az-Latn-AZ"/>
        </w:rPr>
        <w:t>qida</w:t>
      </w:r>
      <w:r w:rsidRPr="00D3050F">
        <w:rPr>
          <w:rFonts w:ascii="Palatino Linotype" w:hAnsi="Palatino Linotype"/>
          <w:lang w:val="az-Latn-AZ"/>
        </w:rPr>
        <w:t xml:space="preserve"> kimi istifadə etmək üçün nəzərdə tutulmuş şəkər qarğıdalısının əkin sahəsi sair tərəvəz bitkiləri sahəsi ilə birlikdə göstərilir.</w:t>
      </w:r>
    </w:p>
    <w:p w14:paraId="342C145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b/>
          <w:lang w:val="az-Latn-AZ"/>
        </w:rPr>
        <w:t>18.3-cü</w:t>
      </w:r>
      <w:r w:rsidRPr="00D3050F">
        <w:rPr>
          <w:rFonts w:ascii="Palatino Linotype" w:hAnsi="Palatino Linotype"/>
          <w:lang w:val="az-Latn-AZ"/>
        </w:rPr>
        <w:t xml:space="preserve"> “tərəvəz bitkilərinin birillik, köçürülmüş ikiillik və anac toxumluqları - cəmi” sətirdə anac köklü bitkilərlə (yer kökü, çuğundur və sair) soğanla,</w:t>
      </w:r>
      <w:r w:rsidR="002F7A44" w:rsidRPr="00D3050F">
        <w:rPr>
          <w:rFonts w:ascii="Palatino Linotype" w:hAnsi="Palatino Linotype"/>
          <w:lang w:val="az-Latn-AZ"/>
        </w:rPr>
        <w:t xml:space="preserve"> </w:t>
      </w:r>
      <w:r w:rsidRPr="00D3050F">
        <w:rPr>
          <w:rFonts w:ascii="Palatino Linotype" w:hAnsi="Palatino Linotype"/>
          <w:lang w:val="az-Latn-AZ"/>
        </w:rPr>
        <w:t>özəklə və s. basdırılmış bitkilər sahəsi, habelə anac bitki əldə etmək üçün ikiillik tərəvəz əkinləri sahəsi uçota alınır.</w:t>
      </w:r>
    </w:p>
    <w:p w14:paraId="1A15644A"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Məhsulun təxminən hamısı toxum əldə etmək üçün istifadə olunan birillik tərəvəz (xiyar, pomidor, turp və s.) bitkilərinin əkin sahəsi birillik tərəvəz toxumluğu kimi uçota alınır və </w:t>
      </w:r>
      <w:r w:rsidRPr="00D3050F">
        <w:rPr>
          <w:rFonts w:ascii="Palatino Linotype" w:hAnsi="Palatino Linotype"/>
          <w:b/>
          <w:lang w:val="az-Latn-AZ"/>
        </w:rPr>
        <w:t>18.3-cü</w:t>
      </w:r>
      <w:r w:rsidRPr="00D3050F">
        <w:rPr>
          <w:rFonts w:ascii="Palatino Linotype" w:hAnsi="Palatino Linotype"/>
          <w:lang w:val="az-Latn-AZ"/>
        </w:rPr>
        <w:t xml:space="preserve"> “tərəvəz bitkilərinin birillik, köçürülmüş ikiillik və anac toxumluqları - cəmi” və </w:t>
      </w:r>
      <w:r w:rsidRPr="00D3050F">
        <w:rPr>
          <w:rFonts w:ascii="Palatino Linotype" w:hAnsi="Palatino Linotype"/>
          <w:b/>
          <w:lang w:val="az-Latn-AZ"/>
        </w:rPr>
        <w:t>18.3.1-ci</w:t>
      </w:r>
      <w:r w:rsidRPr="00D3050F">
        <w:rPr>
          <w:rFonts w:ascii="Palatino Linotype" w:hAnsi="Palatino Linotype"/>
          <w:lang w:val="az-Latn-AZ"/>
        </w:rPr>
        <w:t xml:space="preserve"> “ondan birillik” sətrində göstərilir. Toxum üçün birillik tərəvəz hissə-hissə (seçmə qaydada) istifadə olunarkən onların sahəsi tərəvəz kimi ayrı-ayrı bitkilər üzrə uçota alınır.</w:t>
      </w:r>
    </w:p>
    <w:p w14:paraId="41B52913"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b/>
          <w:lang w:val="az-Latn-AZ"/>
        </w:rPr>
        <w:t>18.5-ci</w:t>
      </w:r>
      <w:r w:rsidRPr="00D3050F">
        <w:rPr>
          <w:rFonts w:ascii="Palatino Linotype" w:hAnsi="Palatino Linotype"/>
          <w:lang w:val="az-Latn-AZ"/>
        </w:rPr>
        <w:t xml:space="preserve"> “toxumluq üçün ərzaq bostan bitkiləri” sətri də bu qaydaya əsasən doldurulur.</w:t>
      </w:r>
    </w:p>
    <w:p w14:paraId="5DF58E9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lastRenderedPageBreak/>
        <w:t xml:space="preserve">Ərzaq bostan bitkiləri ayrıca göstərici kimi </w:t>
      </w:r>
      <w:r w:rsidRPr="00D3050F">
        <w:rPr>
          <w:rFonts w:ascii="Palatino Linotype" w:hAnsi="Palatino Linotype"/>
          <w:b/>
          <w:lang w:val="az-Latn-AZ"/>
        </w:rPr>
        <w:t>18.4-cü</w:t>
      </w:r>
      <w:r w:rsidRPr="00D3050F">
        <w:rPr>
          <w:rFonts w:ascii="Palatino Linotype" w:hAnsi="Palatino Linotype"/>
          <w:lang w:val="az-Latn-AZ"/>
        </w:rPr>
        <w:t xml:space="preserve"> sətirdə uçota alınır. Onlara qarpız və yemiş sahələri aiddir.</w:t>
      </w:r>
    </w:p>
    <w:p w14:paraId="306C7579" w14:textId="77777777" w:rsidR="00DE0AD1" w:rsidRPr="00D3050F" w:rsidRDefault="00DE0AD1" w:rsidP="00D65165">
      <w:pPr>
        <w:jc w:val="both"/>
        <w:rPr>
          <w:rFonts w:ascii="Palatino Linotype" w:hAnsi="Palatino Linotype"/>
          <w:lang w:val="az-Latn-AZ"/>
        </w:rPr>
      </w:pPr>
    </w:p>
    <w:p w14:paraId="4BE38064" w14:textId="77777777" w:rsidR="00DE0AD1" w:rsidRPr="00D3050F" w:rsidRDefault="00DE0AD1" w:rsidP="00DE0AD1">
      <w:pPr>
        <w:jc w:val="center"/>
        <w:rPr>
          <w:rFonts w:ascii="Palatino Linotype" w:hAnsi="Palatino Linotype"/>
          <w:lang w:val="az-Latn-AZ"/>
        </w:rPr>
      </w:pPr>
      <w:r w:rsidRPr="00D3050F">
        <w:rPr>
          <w:rFonts w:ascii="Palatino Linotype" w:hAnsi="Palatino Linotype"/>
          <w:b/>
          <w:lang w:val="az-Latn-AZ"/>
        </w:rPr>
        <w:t>4. Yem bitkiləri üzrə</w:t>
      </w:r>
    </w:p>
    <w:p w14:paraId="71C16992" w14:textId="77777777" w:rsidR="00DE0AD1" w:rsidRPr="00D3050F" w:rsidRDefault="00DE0AD1" w:rsidP="00D65165">
      <w:pPr>
        <w:jc w:val="both"/>
        <w:rPr>
          <w:rFonts w:ascii="Palatino Linotype" w:hAnsi="Palatino Linotype"/>
          <w:lang w:val="az-Latn-AZ"/>
        </w:rPr>
      </w:pPr>
    </w:p>
    <w:p w14:paraId="23FBFFCD"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Həmin ildə toxum əldə etmək üçün yeri dəyişdirilmiş yemlik kökümeyvəlilərlə tutulmuş sahə, habelə anac yemlik kökümeyvəlilərin əkin sahəsi </w:t>
      </w:r>
      <w:r w:rsidRPr="00D3050F">
        <w:rPr>
          <w:rFonts w:ascii="Palatino Linotype" w:hAnsi="Palatino Linotype"/>
          <w:b/>
          <w:lang w:val="az-Latn-AZ"/>
        </w:rPr>
        <w:t>19.2-ci</w:t>
      </w:r>
      <w:r w:rsidRPr="00D3050F">
        <w:rPr>
          <w:rFonts w:ascii="Palatino Linotype" w:hAnsi="Palatino Linotype"/>
          <w:lang w:val="az-Latn-AZ"/>
        </w:rPr>
        <w:t xml:space="preserve"> “yemlik kökümeyvəlilərin birillik və anac toxumluqları” adlı sətirdə uçota alınır.</w:t>
      </w:r>
    </w:p>
    <w:p w14:paraId="15911565"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Mal-qara yemi üçün şəkər çuğundurunun əkin sahələri ayrıca </w:t>
      </w:r>
      <w:r w:rsidRPr="00D3050F">
        <w:rPr>
          <w:rFonts w:ascii="Palatino Linotype" w:hAnsi="Palatino Linotype"/>
          <w:b/>
          <w:lang w:val="az-Latn-AZ"/>
        </w:rPr>
        <w:t>19.3-cü</w:t>
      </w:r>
      <w:r w:rsidRPr="00D3050F">
        <w:rPr>
          <w:rFonts w:ascii="Palatino Linotype" w:hAnsi="Palatino Linotype"/>
          <w:lang w:val="az-Latn-AZ"/>
        </w:rPr>
        <w:t xml:space="preserve"> sətirdə göstərilir və yemlik kökümeyvəlilərin əkin sahəsinə daxil edilmir.</w:t>
      </w:r>
    </w:p>
    <w:p w14:paraId="79EE86D3"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b/>
          <w:lang w:val="az-Latn-AZ"/>
        </w:rPr>
        <w:t>19.5-ci</w:t>
      </w:r>
      <w:r w:rsidRPr="00D3050F">
        <w:rPr>
          <w:rFonts w:ascii="Palatino Linotype" w:hAnsi="Palatino Linotype"/>
          <w:lang w:val="az-Latn-AZ"/>
        </w:rPr>
        <w:t xml:space="preserve"> “Silos bitkiləri (qarğıdalısız)” sətrinə əkini ayrıca uçota alınan silos üçün qarğıdalı sahəsindən başqa, bu məqsəd üçün nəzərdə tutulmuş bitkilərin (günəbaxan, sorqo, acı paxla, noxud, yem paxlası və s.) əkin sahələri daxil edilir. Silos və yaşıl yem üçün sütül-mum yetişmə dərəcəsinədək, sütül-mum və mum yetişmə dərəcəsində qarğıdalı əkin sahələri </w:t>
      </w:r>
      <w:r w:rsidRPr="00D3050F">
        <w:rPr>
          <w:rFonts w:ascii="Palatino Linotype" w:hAnsi="Palatino Linotype"/>
          <w:b/>
          <w:lang w:val="az-Latn-AZ"/>
        </w:rPr>
        <w:t>19.6-cı</w:t>
      </w:r>
      <w:r w:rsidRPr="00D3050F">
        <w:rPr>
          <w:rFonts w:ascii="Palatino Linotype" w:hAnsi="Palatino Linotype"/>
          <w:lang w:val="az-Latn-AZ"/>
        </w:rPr>
        <w:t xml:space="preserve"> “silos və yaşıl yem üçün qarğıdalı” adlı sətirdə göstərilir və “Yem bitkiləri” bölməsinə daxil edilir.</w:t>
      </w:r>
    </w:p>
    <w:p w14:paraId="4EB74343"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Əgər yemlik kələm əkini silos üçün nəzərdə tutulubsa, belə halda o, silos üçün əkinlər sahəsinə daxil edilir. Əgər yemlik kələm yaşıl</w:t>
      </w:r>
      <w:r w:rsidR="002F7A44" w:rsidRPr="00D3050F">
        <w:rPr>
          <w:rFonts w:ascii="Palatino Linotype" w:hAnsi="Palatino Linotype"/>
          <w:lang w:val="az-Latn-AZ"/>
        </w:rPr>
        <w:t xml:space="preserve"> </w:t>
      </w:r>
      <w:r w:rsidRPr="00D3050F">
        <w:rPr>
          <w:rFonts w:ascii="Palatino Linotype" w:hAnsi="Palatino Linotype"/>
          <w:lang w:val="az-Latn-AZ"/>
        </w:rPr>
        <w:t>yem üçün əkilmişdirsə, onda o sair birillik otlar əkini sırasında göstərilir.</w:t>
      </w:r>
    </w:p>
    <w:p w14:paraId="679C4FDB"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Yemlik bostan bitkiləri (yemlik boranı, qarpız) yemlik bitkilər bölməsində ayrıca göstərici kimi </w:t>
      </w:r>
      <w:r w:rsidRPr="00D3050F">
        <w:rPr>
          <w:rFonts w:ascii="Palatino Linotype" w:hAnsi="Palatino Linotype"/>
          <w:b/>
          <w:lang w:val="az-Latn-AZ"/>
        </w:rPr>
        <w:t>19.4-cü</w:t>
      </w:r>
      <w:r w:rsidRPr="00D3050F">
        <w:rPr>
          <w:rFonts w:ascii="Palatino Linotype" w:hAnsi="Palatino Linotype"/>
          <w:lang w:val="az-Latn-AZ"/>
        </w:rPr>
        <w:t xml:space="preserve"> sətirdə uçota alınır.</w:t>
      </w:r>
    </w:p>
    <w:p w14:paraId="72B081B0"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“Dənli bitkilər” bölməsində uçota alınan yemlik paxla (şirini və acısı) və sorqo əkinlərindən başqa dən üçün çöl noxudu və çöl noxudunun qarışığı: başqa bölmələrin müvafiq sətirlərində göstərilən yaşıl yem, silos və otarmaq üçün istifadə edilmiş qarğıdalı və payızlıq dənlilər; yaşıl gübrə üçün acı paxla və sair bitkilərin əkin sahələrindən başqa, ot, toxum, yaşıl yem, otarmaq üçün dənəvər yem və briket əldə etmək üçün əkilmiş bütün birillik otların əkin sahələri “birillik otlar” bölməsində göstərilir.</w:t>
      </w:r>
    </w:p>
    <w:p w14:paraId="786C23D0"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Bu bölmədə həmçinin ot, yaşıl yem və senaj üçün bütün yazlıq dənli və dənli paxlalı (qarğıdalıdan başqa) bitkilərin əkin sahələri də uçota alınır.</w:t>
      </w:r>
    </w:p>
    <w:p w14:paraId="67A6CB8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Dənəvər yem (qranul) və briket əldə etmək üçün dənli bitkilər əkininin, yəni məhsulu sütül-mum</w:t>
      </w:r>
      <w:r w:rsidR="002F7A44" w:rsidRPr="00D3050F">
        <w:rPr>
          <w:rFonts w:ascii="Palatino Linotype" w:hAnsi="Palatino Linotype"/>
          <w:lang w:val="az-Latn-AZ"/>
        </w:rPr>
        <w:t xml:space="preserve"> </w:t>
      </w:r>
      <w:r w:rsidRPr="00D3050F">
        <w:rPr>
          <w:rFonts w:ascii="Palatino Linotype" w:hAnsi="Palatino Linotype"/>
          <w:lang w:val="az-Latn-AZ"/>
        </w:rPr>
        <w:t>yetişmə dərəcəsində briket və dənəvər (qranul) yem hazırlamaq üçün istifadə olunan dənli bitkilərin yığım sahəsi sair birillik otlar tərkibində uçota alınmalıdır.</w:t>
      </w:r>
    </w:p>
    <w:p w14:paraId="04DB330B"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Çoxillik otlar üzrə aşağıdakıları ayırmaq lazımdır: cari ilin örtüksüz əkini, cari ilin örtüklü əkini və keçmiş illərin çoxillik əkinlərinin çalım sahələrini.</w:t>
      </w:r>
    </w:p>
    <w:p w14:paraId="6841F287"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Çoxillik otların örtüksüz əkini müstəqil sahə tutur və hesabatda bütün əkin sahəsinin yekununa daxil edilir.</w:t>
      </w:r>
    </w:p>
    <w:p w14:paraId="45021476"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Çoxillik otların örtüklü əkini yazda, yaxud yazlıq dənli bitkilərlə tutulmuş sahələrə ot toxumları səpilməsi yolu ilə aparılır, ona görə də örtüklü otlar müstəqil sahə tutmur və bütün əkin sahələrinin yekununa daxil edilmir, xüsusi sətirdə yekundan sonra göstərilir.</w:t>
      </w:r>
    </w:p>
    <w:p w14:paraId="7BD7D086"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Payızlıq, yaxud yazlıq bitkilərin örtüyü altında çoxillik otlar səpinindən sonra, yazlıq bitkilər səpini qurtaranadək əsas (örtük) bitkisi tələf olduğu, lakin otlar salamat </w:t>
      </w:r>
      <w:r w:rsidRPr="00D3050F">
        <w:rPr>
          <w:rFonts w:ascii="Palatino Linotype" w:hAnsi="Palatino Linotype"/>
          <w:lang w:val="az-Latn-AZ"/>
        </w:rPr>
        <w:lastRenderedPageBreak/>
        <w:t xml:space="preserve">qaldığı və o sahələrdə yenidən səpin aparılmadığı hallarda həmin ot sahələri “o cümlədən” ayrı-ayrı ot növünü əhatə etməklə hesabat formasının </w:t>
      </w:r>
      <w:r w:rsidRPr="00D3050F">
        <w:rPr>
          <w:rFonts w:ascii="Palatino Linotype" w:hAnsi="Palatino Linotype"/>
          <w:b/>
          <w:lang w:val="az-Latn-AZ"/>
        </w:rPr>
        <w:t>22-ci</w:t>
      </w:r>
      <w:r w:rsidRPr="00D3050F">
        <w:rPr>
          <w:rFonts w:ascii="Palatino Linotype" w:hAnsi="Palatino Linotype"/>
          <w:lang w:val="az-Latn-AZ"/>
        </w:rPr>
        <w:t xml:space="preserve"> “ondan başqa örtüklü çoxillik otlar-cəmi” sətrində uçota alınır.</w:t>
      </w:r>
    </w:p>
    <w:p w14:paraId="2167A6D5"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Həm yazda, həm də payızda aparılmış çoxillik otlar səpini bir yerdə uçota alınır və hesabatın müvafiq sətirlərinə yazılır.</w:t>
      </w:r>
    </w:p>
    <w:p w14:paraId="2078007D"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Keçmiş illərdə əkilmiş çoxillik otların çalım sahəsi keçən illərdə səpilmiş çoxillik örtüksüz və örtüklü ot əkinlərinin uçot aparılan vaxta salamat qalmış sahələrini əhatə edir. Buraya ot, toxum, yaşıl yem, otarmaq və silos üçün istifadə olunan çoxillik ot sahələri daxil edilir.</w:t>
      </w:r>
    </w:p>
    <w:p w14:paraId="36B77D5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Bütün</w:t>
      </w:r>
      <w:r w:rsidR="002F7A44" w:rsidRPr="00D3050F">
        <w:rPr>
          <w:rFonts w:ascii="Palatino Linotype" w:hAnsi="Palatino Linotype"/>
          <w:lang w:val="az-Latn-AZ"/>
        </w:rPr>
        <w:t xml:space="preserve"> </w:t>
      </w:r>
      <w:r w:rsidRPr="00D3050F">
        <w:rPr>
          <w:rFonts w:ascii="Palatino Linotype" w:hAnsi="Palatino Linotype"/>
          <w:lang w:val="az-Latn-AZ"/>
        </w:rPr>
        <w:t>çoxillik ot növlərinin çalım sahələri, bütün əkin illəri üzrə bir yerdə göstərilir və yalnız yonca və xaşa əkinləri üzrə (həm təmiz, həmçinin dənli bitkilərin otları ilə qarışığı)</w:t>
      </w:r>
      <w:r w:rsidR="002F7A44" w:rsidRPr="00D3050F">
        <w:rPr>
          <w:rFonts w:ascii="Palatino Linotype" w:hAnsi="Palatino Linotype"/>
          <w:lang w:val="az-Latn-AZ"/>
        </w:rPr>
        <w:t xml:space="preserve"> </w:t>
      </w:r>
      <w:r w:rsidRPr="00D3050F">
        <w:rPr>
          <w:rFonts w:ascii="Palatino Linotype" w:hAnsi="Palatino Linotype"/>
          <w:lang w:val="az-Latn-AZ"/>
        </w:rPr>
        <w:t>o cümlədən yonca üçün iki ildən çox istifadə olunan sahələr ayrılır.</w:t>
      </w:r>
    </w:p>
    <w:p w14:paraId="3850932D"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Cari ilin örtüksüz çoxillik otlar əkini sahəsindən, çoxillik ot toxumu almaq üçün əkin sahəsi (toxumluq sahə) </w:t>
      </w:r>
      <w:r w:rsidRPr="00D3050F">
        <w:rPr>
          <w:rFonts w:ascii="Palatino Linotype" w:hAnsi="Palatino Linotype"/>
          <w:b/>
          <w:lang w:val="az-Latn-AZ"/>
        </w:rPr>
        <w:t xml:space="preserve">23-cü </w:t>
      </w:r>
      <w:r w:rsidRPr="00D3050F">
        <w:rPr>
          <w:rFonts w:ascii="Palatino Linotype" w:hAnsi="Palatino Linotype"/>
          <w:lang w:val="az-Latn-AZ"/>
        </w:rPr>
        <w:t xml:space="preserve">sətirdə, o cümlədən yonca və xaşa müvafiq olaraq, </w:t>
      </w:r>
      <w:r w:rsidRPr="00D3050F">
        <w:rPr>
          <w:rFonts w:ascii="Palatino Linotype" w:hAnsi="Palatino Linotype"/>
          <w:b/>
          <w:lang w:val="az-Latn-AZ"/>
        </w:rPr>
        <w:t>23.1 və 23.2-ci</w:t>
      </w:r>
      <w:r w:rsidRPr="00D3050F">
        <w:rPr>
          <w:rFonts w:ascii="Palatino Linotype" w:hAnsi="Palatino Linotype"/>
          <w:lang w:val="az-Latn-AZ"/>
        </w:rPr>
        <w:t xml:space="preserve"> sətirlərdə ayrıca göstərilir.</w:t>
      </w:r>
    </w:p>
    <w:p w14:paraId="062B0902"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Təbii biçənəklərdə və otlaqlarda qabaqcadan şum sürüldükdən sonra onları kökündən yaxşılaşdırmaq məqsədilə çoxillik otlar əkini (otlaq və biçənək salmaq məqsədilə çoxillik ot əkini adlanan), əkin sahələrinə daxil edilmir və bu hesabatda əks etdirilmir.</w:t>
      </w:r>
    </w:p>
    <w:p w14:paraId="3C05352B" w14:textId="77777777" w:rsidR="00DE0AD1" w:rsidRPr="00D3050F" w:rsidRDefault="00DE0AD1" w:rsidP="00D65165">
      <w:pPr>
        <w:jc w:val="both"/>
        <w:rPr>
          <w:rFonts w:ascii="Palatino Linotype" w:hAnsi="Palatino Linotype"/>
          <w:lang w:val="az-Latn-AZ"/>
        </w:rPr>
      </w:pPr>
    </w:p>
    <w:p w14:paraId="2ED5893D" w14:textId="77777777" w:rsidR="00DE0AD1" w:rsidRPr="00D3050F" w:rsidRDefault="00DE0AD1" w:rsidP="00DE0AD1">
      <w:pPr>
        <w:jc w:val="center"/>
        <w:rPr>
          <w:rFonts w:ascii="Palatino Linotype" w:hAnsi="Palatino Linotype"/>
          <w:lang w:val="az-Latn-AZ"/>
        </w:rPr>
      </w:pPr>
      <w:r w:rsidRPr="00D3050F">
        <w:rPr>
          <w:rFonts w:ascii="Palatino Linotype" w:hAnsi="Palatino Linotype"/>
          <w:b/>
          <w:lang w:val="az-Latn-AZ"/>
        </w:rPr>
        <w:t>5. Təkrar və cərgələrarası əkin</w:t>
      </w:r>
    </w:p>
    <w:p w14:paraId="50FEC219" w14:textId="77777777" w:rsidR="00DE0AD1" w:rsidRPr="00D3050F" w:rsidRDefault="00DE0AD1" w:rsidP="00D65165">
      <w:pPr>
        <w:jc w:val="both"/>
        <w:rPr>
          <w:rFonts w:ascii="Palatino Linotype" w:hAnsi="Palatino Linotype"/>
          <w:lang w:val="az-Latn-AZ"/>
        </w:rPr>
      </w:pPr>
    </w:p>
    <w:p w14:paraId="58692A39"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Təkrar və cərgələrarası əkinlər (bağların cərgələrarası aparılmış əkinlərindən başqa) bu hesabat forması üzrə uçota alınmırlar. Bu əkinlərin uçotu</w:t>
      </w:r>
      <w:r w:rsidR="002F7A44" w:rsidRPr="00D3050F">
        <w:rPr>
          <w:rFonts w:ascii="Palatino Linotype" w:hAnsi="Palatino Linotype"/>
          <w:lang w:val="az-Latn-AZ"/>
        </w:rPr>
        <w:t xml:space="preserve"> </w:t>
      </w:r>
      <w:r w:rsidRPr="00D3050F">
        <w:rPr>
          <w:rFonts w:ascii="Palatino Linotype" w:hAnsi="Palatino Linotype"/>
          <w:lang w:val="az-Latn-AZ"/>
        </w:rPr>
        <w:t>29-kt №-li forma üzrə kənd təsərrüfatı bitkilərinin faktiki məhsul toplanışı uçotu keçirilərkən ildə bir dəfə aparılır.</w:t>
      </w:r>
    </w:p>
    <w:p w14:paraId="5585B12F" w14:textId="77777777" w:rsidR="00DE0AD1" w:rsidRPr="00D3050F" w:rsidRDefault="00DE0AD1" w:rsidP="00DE0AD1">
      <w:pPr>
        <w:ind w:firstLine="540"/>
        <w:jc w:val="both"/>
        <w:rPr>
          <w:rFonts w:ascii="Palatino Linotype" w:hAnsi="Palatino Linotype"/>
          <w:lang w:val="az-Latn-AZ"/>
        </w:rPr>
      </w:pPr>
      <w:r w:rsidRPr="00D3050F">
        <w:rPr>
          <w:rFonts w:ascii="Palatino Linotype" w:hAnsi="Palatino Linotype"/>
          <w:lang w:val="az-Latn-AZ"/>
        </w:rPr>
        <w:t xml:space="preserve">Bağlarda cərgələrarası bitkilər əkini, yuxarıda göstərildiyi kimi, eyni bitkilərin faktiki əkin sahəsinin yekununa və təsərrüfatın bütün əkin sahələrinin yekununa daxil edilir, habelə </w:t>
      </w:r>
      <w:r w:rsidRPr="00D3050F">
        <w:rPr>
          <w:rFonts w:ascii="Palatino Linotype" w:hAnsi="Palatino Linotype"/>
          <w:b/>
          <w:lang w:val="az-Latn-AZ"/>
        </w:rPr>
        <w:t>21-ci</w:t>
      </w:r>
      <w:r w:rsidRPr="00D3050F">
        <w:rPr>
          <w:rFonts w:ascii="Palatino Linotype" w:hAnsi="Palatino Linotype"/>
          <w:lang w:val="az-Latn-AZ"/>
        </w:rPr>
        <w:t xml:space="preserve"> “o cümlədən, bağların cərgələri arasında” adlı ayrıca sətirdə göstərilir.</w:t>
      </w:r>
    </w:p>
    <w:p w14:paraId="04EB482C" w14:textId="77777777" w:rsidR="00D3050F" w:rsidRDefault="00DE0AD1" w:rsidP="00D3050F">
      <w:pPr>
        <w:ind w:firstLine="540"/>
        <w:jc w:val="both"/>
        <w:rPr>
          <w:rFonts w:ascii="Palatino Linotype" w:hAnsi="Palatino Linotype"/>
          <w:lang w:val="az-Latn-AZ"/>
        </w:rPr>
      </w:pPr>
      <w:r w:rsidRPr="00D3050F">
        <w:rPr>
          <w:rFonts w:ascii="Palatino Linotype" w:hAnsi="Palatino Linotype"/>
          <w:lang w:val="az-Latn-AZ"/>
        </w:rPr>
        <w:t>Rəsmi statistika hesabatının tərtib olunmasına sərf olunan vaxt adam-saatla müəyyənləşdirilir və dövr ərzində hesabatın tərtib olunmasında iştirak edən işçilərin (işçinin) sayını onların həmin hesabatın tərtib olunmasına sərf etdikləri vaxta vurmaqla tapılır.</w:t>
      </w:r>
    </w:p>
    <w:sectPr w:rsidR="00D3050F" w:rsidSect="0065716C">
      <w:endnotePr>
        <w:numFmt w:val="decimal"/>
      </w:endnotePr>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40ED" w14:textId="77777777" w:rsidR="007C00B8" w:rsidRDefault="007C00B8" w:rsidP="00D3050F">
      <w:r>
        <w:separator/>
      </w:r>
    </w:p>
  </w:endnote>
  <w:endnote w:type="continuationSeparator" w:id="0">
    <w:p w14:paraId="07F1CFCB" w14:textId="77777777" w:rsidR="007C00B8" w:rsidRDefault="007C00B8" w:rsidP="00D3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Arial AzLat">
    <w:altName w:val="Arial"/>
    <w:panose1 w:val="020B0604020202020204"/>
    <w:charset w:val="CC"/>
    <w:family w:val="swiss"/>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A00002EF" w:usb1="4000207B" w:usb2="00000000" w:usb3="00000000" w:csb0="0000009F" w:csb1="00000000"/>
  </w:font>
  <w:font w:name="A2 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85A6" w14:textId="77777777" w:rsidR="007C00B8" w:rsidRDefault="007C00B8" w:rsidP="00D3050F">
      <w:r>
        <w:separator/>
      </w:r>
    </w:p>
  </w:footnote>
  <w:footnote w:type="continuationSeparator" w:id="0">
    <w:p w14:paraId="2B669420" w14:textId="77777777" w:rsidR="007C00B8" w:rsidRDefault="007C00B8" w:rsidP="00D30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566C"/>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39390B"/>
    <w:multiLevelType w:val="hybridMultilevel"/>
    <w:tmpl w:val="53EAAD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C657539"/>
    <w:multiLevelType w:val="hybridMultilevel"/>
    <w:tmpl w:val="E1484AA0"/>
    <w:lvl w:ilvl="0" w:tplc="A5923B2E">
      <w:start w:val="1"/>
      <w:numFmt w:val="decimal"/>
      <w:lvlText w:val="%1."/>
      <w:lvlJc w:val="left"/>
      <w:pPr>
        <w:tabs>
          <w:tab w:val="num" w:pos="2265"/>
        </w:tabs>
        <w:ind w:left="2265" w:hanging="360"/>
      </w:pPr>
      <w:rPr>
        <w:rFonts w:hint="default"/>
      </w:rPr>
    </w:lvl>
    <w:lvl w:ilvl="1" w:tplc="04190019" w:tentative="1">
      <w:start w:val="1"/>
      <w:numFmt w:val="lowerLetter"/>
      <w:lvlText w:val="%2."/>
      <w:lvlJc w:val="left"/>
      <w:pPr>
        <w:tabs>
          <w:tab w:val="num" w:pos="2985"/>
        </w:tabs>
        <w:ind w:left="2985" w:hanging="360"/>
      </w:pPr>
    </w:lvl>
    <w:lvl w:ilvl="2" w:tplc="0419001B" w:tentative="1">
      <w:start w:val="1"/>
      <w:numFmt w:val="lowerRoman"/>
      <w:lvlText w:val="%3."/>
      <w:lvlJc w:val="right"/>
      <w:pPr>
        <w:tabs>
          <w:tab w:val="num" w:pos="3705"/>
        </w:tabs>
        <w:ind w:left="3705" w:hanging="180"/>
      </w:pPr>
    </w:lvl>
    <w:lvl w:ilvl="3" w:tplc="0419000F" w:tentative="1">
      <w:start w:val="1"/>
      <w:numFmt w:val="decimal"/>
      <w:lvlText w:val="%4."/>
      <w:lvlJc w:val="left"/>
      <w:pPr>
        <w:tabs>
          <w:tab w:val="num" w:pos="4425"/>
        </w:tabs>
        <w:ind w:left="4425" w:hanging="360"/>
      </w:pPr>
    </w:lvl>
    <w:lvl w:ilvl="4" w:tplc="04190019" w:tentative="1">
      <w:start w:val="1"/>
      <w:numFmt w:val="lowerLetter"/>
      <w:lvlText w:val="%5."/>
      <w:lvlJc w:val="left"/>
      <w:pPr>
        <w:tabs>
          <w:tab w:val="num" w:pos="5145"/>
        </w:tabs>
        <w:ind w:left="5145" w:hanging="360"/>
      </w:pPr>
    </w:lvl>
    <w:lvl w:ilvl="5" w:tplc="0419001B" w:tentative="1">
      <w:start w:val="1"/>
      <w:numFmt w:val="lowerRoman"/>
      <w:lvlText w:val="%6."/>
      <w:lvlJc w:val="right"/>
      <w:pPr>
        <w:tabs>
          <w:tab w:val="num" w:pos="5865"/>
        </w:tabs>
        <w:ind w:left="5865" w:hanging="180"/>
      </w:pPr>
    </w:lvl>
    <w:lvl w:ilvl="6" w:tplc="0419000F" w:tentative="1">
      <w:start w:val="1"/>
      <w:numFmt w:val="decimal"/>
      <w:lvlText w:val="%7."/>
      <w:lvlJc w:val="left"/>
      <w:pPr>
        <w:tabs>
          <w:tab w:val="num" w:pos="6585"/>
        </w:tabs>
        <w:ind w:left="6585" w:hanging="360"/>
      </w:pPr>
    </w:lvl>
    <w:lvl w:ilvl="7" w:tplc="04190019" w:tentative="1">
      <w:start w:val="1"/>
      <w:numFmt w:val="lowerLetter"/>
      <w:lvlText w:val="%8."/>
      <w:lvlJc w:val="left"/>
      <w:pPr>
        <w:tabs>
          <w:tab w:val="num" w:pos="7305"/>
        </w:tabs>
        <w:ind w:left="7305" w:hanging="360"/>
      </w:pPr>
    </w:lvl>
    <w:lvl w:ilvl="8" w:tplc="0419001B" w:tentative="1">
      <w:start w:val="1"/>
      <w:numFmt w:val="lowerRoman"/>
      <w:lvlText w:val="%9."/>
      <w:lvlJc w:val="right"/>
      <w:pPr>
        <w:tabs>
          <w:tab w:val="num" w:pos="8025"/>
        </w:tabs>
        <w:ind w:left="8025" w:hanging="180"/>
      </w:pPr>
    </w:lvl>
  </w:abstractNum>
  <w:abstractNum w:abstractNumId="3" w15:restartNumberingAfterBreak="0">
    <w:nsid w:val="29747AE4"/>
    <w:multiLevelType w:val="multilevel"/>
    <w:tmpl w:val="B1D84706"/>
    <w:lvl w:ilvl="0">
      <w:start w:val="200"/>
      <w:numFmt w:val="decimal"/>
      <w:lvlText w:val="%1"/>
      <w:lvlJc w:val="left"/>
      <w:pPr>
        <w:tabs>
          <w:tab w:val="num" w:pos="795"/>
        </w:tabs>
        <w:ind w:left="795" w:hanging="795"/>
      </w:pPr>
      <w:rPr>
        <w:rFonts w:hint="default"/>
        <w:color w:val="FF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2D7B70CF"/>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B04F72"/>
    <w:multiLevelType w:val="multilevel"/>
    <w:tmpl w:val="F4028316"/>
    <w:lvl w:ilvl="0">
      <w:start w:val="200"/>
      <w:numFmt w:val="none"/>
      <w:lvlText w:val="201"/>
      <w:lvlJc w:val="left"/>
      <w:pPr>
        <w:tabs>
          <w:tab w:val="num" w:pos="795"/>
        </w:tabs>
        <w:ind w:left="795" w:hanging="795"/>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435018B"/>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313939"/>
    <w:multiLevelType w:val="singleLevel"/>
    <w:tmpl w:val="1B501820"/>
    <w:lvl w:ilvl="0">
      <w:start w:val="200"/>
      <w:numFmt w:val="decimal"/>
      <w:lvlText w:val="%1"/>
      <w:lvlJc w:val="left"/>
      <w:pPr>
        <w:tabs>
          <w:tab w:val="num" w:pos="795"/>
        </w:tabs>
        <w:ind w:left="795" w:hanging="795"/>
      </w:pPr>
      <w:rPr>
        <w:rFonts w:hint="default"/>
      </w:rPr>
    </w:lvl>
  </w:abstractNum>
  <w:abstractNum w:abstractNumId="9" w15:restartNumberingAfterBreak="0">
    <w:nsid w:val="366F707E"/>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A6160B"/>
    <w:multiLevelType w:val="multilevel"/>
    <w:tmpl w:val="3EA6160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183700"/>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1E0180"/>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C0A6FB4"/>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23B07F4"/>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33207A6"/>
    <w:multiLevelType w:val="hybridMultilevel"/>
    <w:tmpl w:val="CC72B48A"/>
    <w:lvl w:ilvl="0" w:tplc="803CE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11"/>
  </w:num>
  <w:num w:numId="4">
    <w:abstractNumId w:val="14"/>
  </w:num>
  <w:num w:numId="5">
    <w:abstractNumId w:val="7"/>
  </w:num>
  <w:num w:numId="6">
    <w:abstractNumId w:val="9"/>
  </w:num>
  <w:num w:numId="7">
    <w:abstractNumId w:val="0"/>
  </w:num>
  <w:num w:numId="8">
    <w:abstractNumId w:val="5"/>
  </w:num>
  <w:num w:numId="9">
    <w:abstractNumId w:val="12"/>
  </w:num>
  <w:num w:numId="10">
    <w:abstractNumId w:val="15"/>
  </w:num>
  <w:num w:numId="11">
    <w:abstractNumId w:val="3"/>
  </w:num>
  <w:num w:numId="12">
    <w:abstractNumId w:val="6"/>
  </w:num>
  <w:num w:numId="13">
    <w:abstractNumId w:val="4"/>
  </w:num>
  <w:num w:numId="14">
    <w:abstractNumId w:val="2"/>
  </w:num>
  <w:num w:numId="15">
    <w:abstractNumId w:val="1"/>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10E"/>
    <w:rsid w:val="000052A6"/>
    <w:rsid w:val="00006715"/>
    <w:rsid w:val="00010D7C"/>
    <w:rsid w:val="00014E04"/>
    <w:rsid w:val="000231EC"/>
    <w:rsid w:val="00027508"/>
    <w:rsid w:val="00065E8A"/>
    <w:rsid w:val="00096BED"/>
    <w:rsid w:val="000E6D29"/>
    <w:rsid w:val="000E7270"/>
    <w:rsid w:val="000F772A"/>
    <w:rsid w:val="00101BCD"/>
    <w:rsid w:val="0011386D"/>
    <w:rsid w:val="00116F93"/>
    <w:rsid w:val="0014034E"/>
    <w:rsid w:val="001454E6"/>
    <w:rsid w:val="001647A9"/>
    <w:rsid w:val="00172153"/>
    <w:rsid w:val="001F4E4E"/>
    <w:rsid w:val="0025389D"/>
    <w:rsid w:val="00292155"/>
    <w:rsid w:val="0029768D"/>
    <w:rsid w:val="002E707E"/>
    <w:rsid w:val="002F2AE0"/>
    <w:rsid w:val="002F5096"/>
    <w:rsid w:val="002F7158"/>
    <w:rsid w:val="002F7A44"/>
    <w:rsid w:val="0033489D"/>
    <w:rsid w:val="00346347"/>
    <w:rsid w:val="00376C95"/>
    <w:rsid w:val="00385420"/>
    <w:rsid w:val="003B6E9D"/>
    <w:rsid w:val="0043064D"/>
    <w:rsid w:val="00437AA9"/>
    <w:rsid w:val="00452B75"/>
    <w:rsid w:val="00467B13"/>
    <w:rsid w:val="00475F9E"/>
    <w:rsid w:val="00485C3A"/>
    <w:rsid w:val="004C64C5"/>
    <w:rsid w:val="004D3843"/>
    <w:rsid w:val="00504A3A"/>
    <w:rsid w:val="005105E3"/>
    <w:rsid w:val="00513DCE"/>
    <w:rsid w:val="0052045B"/>
    <w:rsid w:val="00520DC5"/>
    <w:rsid w:val="00592C18"/>
    <w:rsid w:val="005A5258"/>
    <w:rsid w:val="005A74B0"/>
    <w:rsid w:val="005A7ABD"/>
    <w:rsid w:val="005E7B08"/>
    <w:rsid w:val="006062D5"/>
    <w:rsid w:val="00633821"/>
    <w:rsid w:val="0065716C"/>
    <w:rsid w:val="00662A3C"/>
    <w:rsid w:val="006766A8"/>
    <w:rsid w:val="006A4677"/>
    <w:rsid w:val="006C4EFF"/>
    <w:rsid w:val="006D1F4D"/>
    <w:rsid w:val="006E566B"/>
    <w:rsid w:val="0073670A"/>
    <w:rsid w:val="00743981"/>
    <w:rsid w:val="00761E09"/>
    <w:rsid w:val="007621A6"/>
    <w:rsid w:val="00762812"/>
    <w:rsid w:val="007A13FB"/>
    <w:rsid w:val="007A5FA2"/>
    <w:rsid w:val="007C00B8"/>
    <w:rsid w:val="007D634B"/>
    <w:rsid w:val="007E0BDC"/>
    <w:rsid w:val="008267BB"/>
    <w:rsid w:val="008608FD"/>
    <w:rsid w:val="008C0221"/>
    <w:rsid w:val="008C5058"/>
    <w:rsid w:val="008C6FB9"/>
    <w:rsid w:val="008F08F1"/>
    <w:rsid w:val="009055AC"/>
    <w:rsid w:val="00921C78"/>
    <w:rsid w:val="00943D95"/>
    <w:rsid w:val="0097634E"/>
    <w:rsid w:val="00977C2E"/>
    <w:rsid w:val="00992F3D"/>
    <w:rsid w:val="009A7155"/>
    <w:rsid w:val="009C01F2"/>
    <w:rsid w:val="009D0F95"/>
    <w:rsid w:val="009E07BC"/>
    <w:rsid w:val="009F10D2"/>
    <w:rsid w:val="00A20FF8"/>
    <w:rsid w:val="00A27E8F"/>
    <w:rsid w:val="00A4051E"/>
    <w:rsid w:val="00A518D2"/>
    <w:rsid w:val="00A973BF"/>
    <w:rsid w:val="00AC3E5B"/>
    <w:rsid w:val="00AD1C5E"/>
    <w:rsid w:val="00AD44A7"/>
    <w:rsid w:val="00AE5E8D"/>
    <w:rsid w:val="00B01559"/>
    <w:rsid w:val="00B045CC"/>
    <w:rsid w:val="00B12186"/>
    <w:rsid w:val="00B20DB1"/>
    <w:rsid w:val="00BC72F8"/>
    <w:rsid w:val="00BD27E8"/>
    <w:rsid w:val="00BD41CB"/>
    <w:rsid w:val="00BD7038"/>
    <w:rsid w:val="00C201BC"/>
    <w:rsid w:val="00C20FA6"/>
    <w:rsid w:val="00C35096"/>
    <w:rsid w:val="00C47F57"/>
    <w:rsid w:val="00C70D9D"/>
    <w:rsid w:val="00C82B39"/>
    <w:rsid w:val="00C941FC"/>
    <w:rsid w:val="00C96881"/>
    <w:rsid w:val="00CB234A"/>
    <w:rsid w:val="00CB241E"/>
    <w:rsid w:val="00CB52C7"/>
    <w:rsid w:val="00CD07C3"/>
    <w:rsid w:val="00CF5E47"/>
    <w:rsid w:val="00D3050F"/>
    <w:rsid w:val="00D55B1F"/>
    <w:rsid w:val="00D6099F"/>
    <w:rsid w:val="00D64311"/>
    <w:rsid w:val="00D65165"/>
    <w:rsid w:val="00D738E8"/>
    <w:rsid w:val="00D7777D"/>
    <w:rsid w:val="00DB67EC"/>
    <w:rsid w:val="00DE0AD1"/>
    <w:rsid w:val="00DE2083"/>
    <w:rsid w:val="00DF3ECF"/>
    <w:rsid w:val="00E03888"/>
    <w:rsid w:val="00E178A1"/>
    <w:rsid w:val="00E258CD"/>
    <w:rsid w:val="00E4353E"/>
    <w:rsid w:val="00E50AF8"/>
    <w:rsid w:val="00E65A22"/>
    <w:rsid w:val="00E75BB3"/>
    <w:rsid w:val="00E75DE0"/>
    <w:rsid w:val="00EC195B"/>
    <w:rsid w:val="00ED6C64"/>
    <w:rsid w:val="00F024C7"/>
    <w:rsid w:val="00F158DC"/>
    <w:rsid w:val="00F24741"/>
    <w:rsid w:val="00F54849"/>
    <w:rsid w:val="00F64C40"/>
    <w:rsid w:val="00F65E03"/>
    <w:rsid w:val="00F8401A"/>
    <w:rsid w:val="00F85317"/>
    <w:rsid w:val="00FA48B4"/>
    <w:rsid w:val="00FB2C5E"/>
    <w:rsid w:val="00FE5B71"/>
    <w:rsid w:val="00FE71D6"/>
    <w:rsid w:val="00FE7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940F0"/>
  <w15:docId w15:val="{1838457B-32E3-4DFE-B84F-48551E26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lang w:val="en-US" w:eastAsia="en-US"/>
    </w:rPr>
  </w:style>
  <w:style w:type="paragraph" w:styleId="Heading1">
    <w:name w:val="heading 1"/>
    <w:basedOn w:val="Normal"/>
    <w:next w:val="Normal"/>
    <w:qFormat/>
    <w:rsid w:val="00F024C7"/>
    <w:pPr>
      <w:keepNext/>
      <w:jc w:val="center"/>
      <w:outlineLvl w:val="0"/>
    </w:pPr>
    <w:rPr>
      <w:rFonts w:ascii="Arial" w:eastAsia="Times New Roman" w:hAnsi="Arial"/>
      <w:b/>
      <w:sz w:val="28"/>
      <w:szCs w:val="20"/>
      <w:lang w:val="ru-RU" w:eastAsia="ru-RU"/>
    </w:rPr>
  </w:style>
  <w:style w:type="paragraph" w:styleId="Heading2">
    <w:name w:val="heading 2"/>
    <w:basedOn w:val="Normal"/>
    <w:next w:val="Normal"/>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941FC"/>
    <w:pPr>
      <w:keepNext/>
      <w:ind w:left="5670"/>
      <w:jc w:val="both"/>
      <w:outlineLvl w:val="2"/>
    </w:pPr>
    <w:rPr>
      <w:rFonts w:ascii="Arial AzLat" w:hAnsi="Arial AzLat"/>
      <w:sz w:val="26"/>
      <w:szCs w:val="20"/>
      <w:lang w:val="ru-RU"/>
    </w:rPr>
  </w:style>
  <w:style w:type="paragraph" w:styleId="Heading4">
    <w:name w:val="heading 4"/>
    <w:basedOn w:val="Normal"/>
    <w:next w:val="Normal"/>
    <w:qFormat/>
    <w:rsid w:val="00C941FC"/>
    <w:pPr>
      <w:keepNext/>
      <w:spacing w:before="240" w:after="60"/>
      <w:outlineLvl w:val="3"/>
    </w:pPr>
    <w:rPr>
      <w:b/>
      <w:bCs/>
      <w:sz w:val="28"/>
      <w:szCs w:val="28"/>
    </w:rPr>
  </w:style>
  <w:style w:type="paragraph" w:styleId="Heading5">
    <w:name w:val="heading 5"/>
    <w:basedOn w:val="Normal"/>
    <w:next w:val="Normal"/>
    <w:qFormat/>
    <w:rsid w:val="00F024C7"/>
    <w:pPr>
      <w:spacing w:before="240" w:after="60"/>
      <w:outlineLvl w:val="4"/>
    </w:pPr>
    <w:rPr>
      <w:b/>
      <w:bCs/>
      <w:i/>
      <w:iCs/>
      <w:sz w:val="26"/>
      <w:szCs w:val="26"/>
    </w:rPr>
  </w:style>
  <w:style w:type="paragraph" w:styleId="Heading6">
    <w:name w:val="heading 6"/>
    <w:basedOn w:val="Normal"/>
    <w:next w:val="Normal"/>
    <w:qFormat/>
    <w:rsid w:val="004C64C5"/>
    <w:pPr>
      <w:keepNext/>
      <w:jc w:val="center"/>
      <w:outlineLvl w:val="5"/>
    </w:pPr>
    <w:rPr>
      <w:rFonts w:eastAsia="Times New Roman"/>
      <w:i/>
      <w:color w:val="000000"/>
      <w:sz w:val="20"/>
      <w:szCs w:val="20"/>
      <w:lang w:val="ru-RU" w:eastAsia="ru-RU"/>
    </w:rPr>
  </w:style>
  <w:style w:type="paragraph" w:styleId="Heading8">
    <w:name w:val="heading 8"/>
    <w:basedOn w:val="Normal"/>
    <w:next w:val="Normal"/>
    <w:qFormat/>
    <w:rsid w:val="00F024C7"/>
    <w:pPr>
      <w:spacing w:before="240" w:after="60"/>
      <w:outlineLvl w:val="7"/>
    </w:pPr>
    <w:rPr>
      <w:rFonts w:eastAsia="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C941FC"/>
    <w:rPr>
      <w:rFonts w:ascii="Consolas" w:eastAsia="Calibri" w:hAnsi="Consolas"/>
      <w:sz w:val="21"/>
      <w:szCs w:val="21"/>
      <w:lang w:val="ru-RU"/>
    </w:rPr>
  </w:style>
  <w:style w:type="character" w:customStyle="1" w:styleId="PlainTextChar">
    <w:name w:val="Plain Text Char"/>
    <w:basedOn w:val="DefaultParagraphFont"/>
    <w:link w:val="PlainText"/>
    <w:rsid w:val="00C941FC"/>
    <w:rPr>
      <w:rFonts w:ascii="Consolas" w:eastAsia="Calibri" w:hAnsi="Consolas"/>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FESIL"/>
    <w:rsid w:val="00513DCE"/>
    <w:rPr>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024C7"/>
    <w:pPr>
      <w:tabs>
        <w:tab w:val="center" w:pos="4320"/>
        <w:tab w:val="right" w:pos="8640"/>
      </w:tabs>
    </w:pPr>
    <w:rPr>
      <w:rFonts w:eastAsia="Times New Roman"/>
      <w:sz w:val="20"/>
      <w:szCs w:val="20"/>
      <w:lang w:eastAsia="ru-RU"/>
    </w:rPr>
  </w:style>
  <w:style w:type="character" w:styleId="PageNumber">
    <w:name w:val="page number"/>
    <w:basedOn w:val="DefaultParagraphFont"/>
    <w:rsid w:val="00F024C7"/>
  </w:style>
  <w:style w:type="paragraph" w:styleId="BodyText">
    <w:name w:val="Body Text"/>
    <w:basedOn w:val="Normal"/>
    <w:rsid w:val="00F024C7"/>
    <w:pPr>
      <w:framePr w:w="4189" w:h="3745" w:hSpace="180" w:wrap="auto" w:vAnchor="text" w:hAnchor="page" w:x="6913" w:y="210"/>
    </w:pPr>
    <w:rPr>
      <w:rFonts w:ascii="A2 Arial AzLat" w:eastAsia="Times New Roman" w:hAnsi="A2 Arial AzLat"/>
      <w:sz w:val="26"/>
      <w:szCs w:val="20"/>
      <w:lang w:val="ru-RU" w:eastAsia="ru-RU"/>
    </w:rPr>
  </w:style>
  <w:style w:type="paragraph" w:styleId="Title">
    <w:name w:val="Title"/>
    <w:basedOn w:val="Normal"/>
    <w:qFormat/>
    <w:rsid w:val="00F024C7"/>
    <w:pPr>
      <w:jc w:val="center"/>
    </w:pPr>
    <w:rPr>
      <w:rFonts w:ascii="Arial AzLat" w:eastAsia="Times New Roman" w:hAnsi="Arial AzLat"/>
      <w:sz w:val="28"/>
      <w:szCs w:val="20"/>
      <w:lang w:val="ru-RU" w:eastAsia="ru-RU"/>
    </w:rPr>
  </w:style>
  <w:style w:type="paragraph" w:styleId="BodyText2">
    <w:name w:val="Body Text 2"/>
    <w:basedOn w:val="Normal"/>
    <w:rsid w:val="00F024C7"/>
    <w:pPr>
      <w:framePr w:w="4201" w:h="2017" w:hSpace="180" w:wrap="auto" w:vAnchor="text" w:hAnchor="page" w:x="1585" w:y="576"/>
    </w:pPr>
    <w:rPr>
      <w:rFonts w:ascii="Arial" w:eastAsia="Times New Roman" w:hAnsi="Arial"/>
      <w:sz w:val="26"/>
      <w:szCs w:val="20"/>
      <w:lang w:val="ru-RU" w:eastAsia="ru-RU"/>
    </w:rPr>
  </w:style>
  <w:style w:type="paragraph" w:styleId="BodyText3">
    <w:name w:val="Body Text 3"/>
    <w:basedOn w:val="Normal"/>
    <w:rsid w:val="00F024C7"/>
    <w:pPr>
      <w:framePr w:w="4189" w:h="1948" w:hSpace="180" w:wrap="auto" w:vAnchor="text" w:hAnchor="page" w:x="6913" w:y="216"/>
      <w:jc w:val="both"/>
    </w:pPr>
    <w:rPr>
      <w:rFonts w:eastAsia="Times New Roman"/>
      <w:szCs w:val="20"/>
      <w:lang w:val="tr-TR" w:eastAsia="ru-RU"/>
    </w:rPr>
  </w:style>
  <w:style w:type="paragraph" w:styleId="Footer">
    <w:name w:val="footer"/>
    <w:basedOn w:val="Normal"/>
    <w:rsid w:val="00F024C7"/>
    <w:pPr>
      <w:tabs>
        <w:tab w:val="center" w:pos="4677"/>
        <w:tab w:val="right" w:pos="9355"/>
      </w:tabs>
    </w:pPr>
    <w:rPr>
      <w:rFonts w:eastAsia="Times New Roman"/>
      <w:sz w:val="20"/>
      <w:szCs w:val="20"/>
      <w:lang w:eastAsia="ru-RU"/>
    </w:rPr>
  </w:style>
  <w:style w:type="character" w:customStyle="1" w:styleId="1">
    <w:name w:val="Знак Знак1"/>
    <w:rsid w:val="00AC3E5B"/>
    <w:rPr>
      <w:rFonts w:ascii="Consolas" w:eastAsia="Calibri" w:hAnsi="Consolas"/>
      <w:sz w:val="21"/>
      <w:szCs w:val="21"/>
      <w:lang w:val="ru-RU" w:eastAsia="en-US" w:bidi="ar-SA"/>
    </w:rPr>
  </w:style>
  <w:style w:type="paragraph" w:customStyle="1" w:styleId="Iauiue">
    <w:name w:val="Iau?iue"/>
    <w:rsid w:val="00BD27E8"/>
    <w:pPr>
      <w:widowControl w:val="0"/>
      <w:overflowPunct w:val="0"/>
      <w:autoSpaceDE w:val="0"/>
      <w:autoSpaceDN w:val="0"/>
      <w:adjustRightInd w:val="0"/>
      <w:textAlignment w:val="baseline"/>
    </w:pPr>
  </w:style>
  <w:style w:type="paragraph" w:styleId="BodyTextIndent3">
    <w:name w:val="Body Text Indent 3"/>
    <w:basedOn w:val="Normal"/>
    <w:rsid w:val="00662A3C"/>
    <w:pPr>
      <w:spacing w:after="120"/>
      <w:ind w:left="283"/>
    </w:pPr>
    <w:rPr>
      <w:rFonts w:eastAsia="Times New Roman"/>
      <w:sz w:val="16"/>
      <w:szCs w:val="16"/>
      <w:lang w:eastAsia="ru-RU"/>
    </w:rPr>
  </w:style>
  <w:style w:type="paragraph" w:customStyle="1" w:styleId="CharChar">
    <w:name w:val="Char Char"/>
    <w:basedOn w:val="Normal"/>
    <w:rsid w:val="00D65165"/>
    <w:pPr>
      <w:spacing w:after="160" w:line="240" w:lineRule="exact"/>
    </w:pPr>
    <w:rPr>
      <w:rFonts w:ascii="Tahoma" w:hAnsi="Tahoma"/>
      <w:sz w:val="20"/>
      <w:szCs w:val="20"/>
    </w:rPr>
  </w:style>
  <w:style w:type="paragraph" w:customStyle="1" w:styleId="BottomNo">
    <w:name w:val="Bottom_No"/>
    <w:basedOn w:val="Normal"/>
    <w:qFormat/>
    <w:rsid w:val="00D3050F"/>
    <w:pPr>
      <w:jc w:val="center"/>
    </w:pPr>
    <w:rPr>
      <w:rFonts w:ascii="Segoe UI" w:eastAsia="Times New Roman" w:hAnsi="Segoe UI"/>
      <w:b/>
      <w:color w:val="0000FF"/>
      <w:u w:val="single"/>
      <w:lang w:val="az-Latn-AZ" w:eastAsia="en-GB"/>
    </w:rPr>
  </w:style>
  <w:style w:type="paragraph" w:styleId="EndnoteText">
    <w:name w:val="endnote text"/>
    <w:basedOn w:val="Normal"/>
    <w:link w:val="EndnoteTextChar"/>
    <w:rsid w:val="00D3050F"/>
    <w:rPr>
      <w:sz w:val="20"/>
      <w:szCs w:val="20"/>
    </w:rPr>
  </w:style>
  <w:style w:type="character" w:customStyle="1" w:styleId="EndnoteTextChar">
    <w:name w:val="Endnote Text Char"/>
    <w:basedOn w:val="DefaultParagraphFont"/>
    <w:link w:val="EndnoteText"/>
    <w:rsid w:val="00D3050F"/>
    <w:rPr>
      <w:rFonts w:eastAsia="MS Mincho"/>
      <w:lang w:val="en-US" w:eastAsia="en-US"/>
    </w:rPr>
  </w:style>
  <w:style w:type="character" w:styleId="EndnoteReference">
    <w:name w:val="endnote reference"/>
    <w:basedOn w:val="DefaultParagraphFont"/>
    <w:rsid w:val="00D305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1E409-9A18-4DDB-B04C-04F45283C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2732</Words>
  <Characters>15576</Characters>
  <Application>Microsoft Office Word</Application>
  <DocSecurity>0</DocSecurity>
  <Lines>129</Lines>
  <Paragraphs>36</Paragraphs>
  <ScaleCrop>false</ScaleCrop>
  <Company>Home</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2012-06-19T07:16:00Z</cp:lastPrinted>
  <dcterms:created xsi:type="dcterms:W3CDTF">2023-08-30T11:30:00Z</dcterms:created>
  <dcterms:modified xsi:type="dcterms:W3CDTF">2023-08-30T11:30:00Z</dcterms:modified>
</cp:coreProperties>
</file>